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4DAB" w14:textId="77777777" w:rsidR="000363CB" w:rsidRDefault="000363CB" w:rsidP="000363CB">
      <w:pPr>
        <w:spacing w:after="100"/>
      </w:pPr>
      <w:r>
        <w:rPr>
          <w:rFonts w:ascii="Segoe UI" w:eastAsia="Segoe UI" w:hAnsi="Segoe UI" w:cs="Segoe UI"/>
          <w:b/>
          <w:bCs/>
          <w:color w:val="323130"/>
          <w:sz w:val="34"/>
          <w:szCs w:val="34"/>
        </w:rPr>
        <w:t>Legal</w:t>
      </w:r>
    </w:p>
    <w:p w14:paraId="56259A5F" w14:textId="77777777" w:rsidR="000363CB" w:rsidRDefault="000363CB" w:rsidP="000363CB">
      <w:pPr>
        <w:spacing w:after="110"/>
      </w:pPr>
      <w:r>
        <w:rPr>
          <w:rFonts w:ascii="Segoe UI" w:eastAsia="Segoe UI" w:hAnsi="Segoe UI" w:cs="Segoe UI"/>
          <w:color w:val="605E5C"/>
          <w:sz w:val="20"/>
          <w:szCs w:val="20"/>
        </w:rPr>
        <w:br/>
        <w:t>0:01</w:t>
      </w:r>
      <w:r>
        <w:rPr>
          <w:rFonts w:ascii="Segoe UI" w:eastAsia="Segoe UI" w:hAnsi="Segoe UI" w:cs="Segoe UI"/>
          <w:color w:val="323130"/>
          <w:sz w:val="20"/>
          <w:szCs w:val="20"/>
        </w:rPr>
        <w:br/>
        <w:t>Welcome to the course on Legal Foundations for live hearings in Title 9.</w:t>
      </w:r>
    </w:p>
    <w:p w14:paraId="7BA01516" w14:textId="77777777" w:rsidR="000363CB" w:rsidRDefault="000363CB" w:rsidP="000363CB">
      <w:pPr>
        <w:spacing w:after="110"/>
      </w:pPr>
      <w:r>
        <w:rPr>
          <w:rFonts w:ascii="Segoe UI" w:eastAsia="Segoe UI" w:hAnsi="Segoe UI" w:cs="Segoe UI"/>
          <w:color w:val="605E5C"/>
          <w:sz w:val="20"/>
          <w:szCs w:val="20"/>
        </w:rPr>
        <w:br/>
        <w:t>0:08</w:t>
      </w:r>
      <w:r>
        <w:rPr>
          <w:rFonts w:ascii="Segoe UI" w:eastAsia="Segoe UI" w:hAnsi="Segoe UI" w:cs="Segoe UI"/>
          <w:color w:val="323130"/>
          <w:sz w:val="20"/>
          <w:szCs w:val="20"/>
        </w:rPr>
        <w:br/>
        <w:t>It's important to understand when the college's investigation or adjudication obligations are triggered.</w:t>
      </w:r>
    </w:p>
    <w:p w14:paraId="4755E062" w14:textId="77777777" w:rsidR="000363CB" w:rsidRDefault="000363CB" w:rsidP="000363CB">
      <w:pPr>
        <w:spacing w:after="110"/>
      </w:pPr>
      <w:r>
        <w:rPr>
          <w:rFonts w:ascii="Segoe UI" w:eastAsia="Segoe UI" w:hAnsi="Segoe UI" w:cs="Segoe UI"/>
          <w:color w:val="605E5C"/>
          <w:sz w:val="20"/>
          <w:szCs w:val="20"/>
        </w:rPr>
        <w:br/>
        <w:t>0:14</w:t>
      </w:r>
      <w:r>
        <w:rPr>
          <w:rFonts w:ascii="Segoe UI" w:eastAsia="Segoe UI" w:hAnsi="Segoe UI" w:cs="Segoe UI"/>
          <w:color w:val="323130"/>
          <w:sz w:val="20"/>
          <w:szCs w:val="20"/>
        </w:rPr>
        <w:br/>
        <w:t>Institutions must investigate all formal complaints filed with the Title 9 coordinator.</w:t>
      </w:r>
    </w:p>
    <w:p w14:paraId="448DDEF3" w14:textId="77777777" w:rsidR="000363CB" w:rsidRDefault="000363CB" w:rsidP="000363CB">
      <w:pPr>
        <w:spacing w:after="110"/>
      </w:pPr>
      <w:r>
        <w:rPr>
          <w:rFonts w:ascii="Segoe UI" w:eastAsia="Segoe UI" w:hAnsi="Segoe UI" w:cs="Segoe UI"/>
          <w:color w:val="605E5C"/>
          <w:sz w:val="20"/>
          <w:szCs w:val="20"/>
        </w:rPr>
        <w:br/>
        <w:t>0:20</w:t>
      </w:r>
      <w:r>
        <w:rPr>
          <w:rFonts w:ascii="Segoe UI" w:eastAsia="Segoe UI" w:hAnsi="Segoe UI" w:cs="Segoe UI"/>
          <w:color w:val="323130"/>
          <w:sz w:val="20"/>
          <w:szCs w:val="20"/>
        </w:rPr>
        <w:br/>
        <w:t>Formal complaints may be filed by a person who is currently participating in the education program or activity of the institution, a person who is attempting to participate in one of those programs or activities, or the Title 9 coordinator.</w:t>
      </w:r>
    </w:p>
    <w:p w14:paraId="11AEF7D5" w14:textId="77777777" w:rsidR="000363CB" w:rsidRDefault="000363CB" w:rsidP="000363CB">
      <w:pPr>
        <w:spacing w:after="110"/>
      </w:pPr>
      <w:r>
        <w:rPr>
          <w:rFonts w:ascii="Segoe UI" w:eastAsia="Segoe UI" w:hAnsi="Segoe UI" w:cs="Segoe UI"/>
          <w:color w:val="605E5C"/>
          <w:sz w:val="20"/>
          <w:szCs w:val="20"/>
        </w:rPr>
        <w:br/>
        <w:t>0:36</w:t>
      </w:r>
      <w:r>
        <w:rPr>
          <w:rFonts w:ascii="Segoe UI" w:eastAsia="Segoe UI" w:hAnsi="Segoe UI" w:cs="Segoe UI"/>
          <w:color w:val="323130"/>
          <w:sz w:val="20"/>
          <w:szCs w:val="20"/>
        </w:rPr>
        <w:br/>
        <w:t>When there are multiple complaints arising from the same incident, those complaints may be consolidated into one case.</w:t>
      </w:r>
    </w:p>
    <w:p w14:paraId="00665AE8" w14:textId="77777777" w:rsidR="000363CB" w:rsidRDefault="000363CB" w:rsidP="000363CB">
      <w:pPr>
        <w:spacing w:after="110"/>
      </w:pPr>
      <w:r>
        <w:rPr>
          <w:rFonts w:ascii="Segoe UI" w:eastAsia="Segoe UI" w:hAnsi="Segoe UI" w:cs="Segoe UI"/>
          <w:color w:val="605E5C"/>
          <w:sz w:val="20"/>
          <w:szCs w:val="20"/>
        </w:rPr>
        <w:br/>
        <w:t>0:43</w:t>
      </w:r>
      <w:r>
        <w:rPr>
          <w:rFonts w:ascii="Segoe UI" w:eastAsia="Segoe UI" w:hAnsi="Segoe UI" w:cs="Segoe UI"/>
          <w:color w:val="323130"/>
          <w:sz w:val="20"/>
          <w:szCs w:val="20"/>
        </w:rPr>
        <w:br/>
        <w:t>To be considered a formal complaint, the complaint must be a written document, such as an intake form or e-mail, which is signed by the complainant.</w:t>
      </w:r>
    </w:p>
    <w:p w14:paraId="71BA366B" w14:textId="77777777" w:rsidR="000363CB" w:rsidRDefault="000363CB" w:rsidP="000363CB">
      <w:pPr>
        <w:spacing w:after="110"/>
      </w:pPr>
      <w:r>
        <w:rPr>
          <w:rFonts w:ascii="Segoe UI" w:eastAsia="Segoe UI" w:hAnsi="Segoe UI" w:cs="Segoe UI"/>
          <w:color w:val="605E5C"/>
          <w:sz w:val="20"/>
          <w:szCs w:val="20"/>
        </w:rPr>
        <w:br/>
        <w:t>0:56</w:t>
      </w:r>
      <w:r>
        <w:rPr>
          <w:rFonts w:ascii="Segoe UI" w:eastAsia="Segoe UI" w:hAnsi="Segoe UI" w:cs="Segoe UI"/>
          <w:color w:val="323130"/>
          <w:sz w:val="20"/>
          <w:szCs w:val="20"/>
        </w:rPr>
        <w:br/>
        <w:t>When handling Title 9 cases, it's important to understand the role of confidentiality in the process.</w:t>
      </w:r>
    </w:p>
    <w:p w14:paraId="0FC6934C" w14:textId="77777777" w:rsidR="000363CB" w:rsidRDefault="000363CB" w:rsidP="000363CB">
      <w:pPr>
        <w:spacing w:after="110"/>
      </w:pPr>
      <w:r>
        <w:rPr>
          <w:rFonts w:ascii="Segoe UI" w:eastAsia="Segoe UI" w:hAnsi="Segoe UI" w:cs="Segoe UI"/>
          <w:color w:val="605E5C"/>
          <w:sz w:val="20"/>
          <w:szCs w:val="20"/>
        </w:rPr>
        <w:br/>
        <w:t>1:02</w:t>
      </w:r>
      <w:r>
        <w:rPr>
          <w:rFonts w:ascii="Segoe UI" w:eastAsia="Segoe UI" w:hAnsi="Segoe UI" w:cs="Segoe UI"/>
          <w:color w:val="323130"/>
          <w:sz w:val="20"/>
          <w:szCs w:val="20"/>
        </w:rPr>
        <w:br/>
        <w:t>First, let's discuss the type of records the Family Education Rights and Privacy Act, or FERPA, applies to.</w:t>
      </w:r>
    </w:p>
    <w:p w14:paraId="500D862D" w14:textId="77777777" w:rsidR="000363CB" w:rsidRDefault="000363CB" w:rsidP="000363CB">
      <w:pPr>
        <w:spacing w:after="110"/>
      </w:pPr>
      <w:r>
        <w:rPr>
          <w:rFonts w:ascii="Segoe UI" w:eastAsia="Segoe UI" w:hAnsi="Segoe UI" w:cs="Segoe UI"/>
          <w:color w:val="605E5C"/>
          <w:sz w:val="20"/>
          <w:szCs w:val="20"/>
        </w:rPr>
        <w:br/>
        <w:t>1:08</w:t>
      </w:r>
      <w:r>
        <w:rPr>
          <w:rFonts w:ascii="Segoe UI" w:eastAsia="Segoe UI" w:hAnsi="Segoe UI" w:cs="Segoe UI"/>
          <w:color w:val="323130"/>
          <w:sz w:val="20"/>
          <w:szCs w:val="20"/>
        </w:rPr>
        <w:br/>
        <w:t xml:space="preserve">These records are </w:t>
      </w:r>
      <w:proofErr w:type="gramStart"/>
      <w:r>
        <w:rPr>
          <w:rFonts w:ascii="Segoe UI" w:eastAsia="Segoe UI" w:hAnsi="Segoe UI" w:cs="Segoe UI"/>
          <w:color w:val="323130"/>
          <w:sz w:val="20"/>
          <w:szCs w:val="20"/>
        </w:rPr>
        <w:t>education</w:t>
      </w:r>
      <w:proofErr w:type="gramEnd"/>
      <w:r>
        <w:rPr>
          <w:rFonts w:ascii="Segoe UI" w:eastAsia="Segoe UI" w:hAnsi="Segoe UI" w:cs="Segoe UI"/>
          <w:color w:val="323130"/>
          <w:sz w:val="20"/>
          <w:szCs w:val="20"/>
        </w:rPr>
        <w:t xml:space="preserve"> records.</w:t>
      </w:r>
    </w:p>
    <w:p w14:paraId="31E155B3" w14:textId="77777777" w:rsidR="000363CB" w:rsidRDefault="000363CB" w:rsidP="000363CB">
      <w:pPr>
        <w:spacing w:after="110"/>
      </w:pPr>
      <w:r>
        <w:rPr>
          <w:rFonts w:ascii="Segoe UI" w:eastAsia="Segoe UI" w:hAnsi="Segoe UI" w:cs="Segoe UI"/>
          <w:color w:val="605E5C"/>
          <w:sz w:val="20"/>
          <w:szCs w:val="20"/>
        </w:rPr>
        <w:br/>
        <w:t>1:11</w:t>
      </w:r>
      <w:r>
        <w:rPr>
          <w:rFonts w:ascii="Segoe UI" w:eastAsia="Segoe UI" w:hAnsi="Segoe UI" w:cs="Segoe UI"/>
          <w:color w:val="323130"/>
          <w:sz w:val="20"/>
          <w:szCs w:val="20"/>
        </w:rPr>
        <w:br/>
        <w:t>FERPA protects education records, which are generally defined as records that are directly related to a student and maintained by an educational agency or institution or by a party acting for the agency or institution.</w:t>
      </w:r>
    </w:p>
    <w:p w14:paraId="2CA17657" w14:textId="77777777" w:rsidR="000363CB" w:rsidRDefault="000363CB" w:rsidP="000363CB">
      <w:pPr>
        <w:spacing w:after="110"/>
      </w:pPr>
      <w:r>
        <w:rPr>
          <w:rFonts w:ascii="Segoe UI" w:eastAsia="Segoe UI" w:hAnsi="Segoe UI" w:cs="Segoe UI"/>
          <w:color w:val="605E5C"/>
          <w:sz w:val="20"/>
          <w:szCs w:val="20"/>
        </w:rPr>
        <w:br/>
        <w:t>1:26</w:t>
      </w:r>
      <w:r>
        <w:rPr>
          <w:rFonts w:ascii="Segoe UI" w:eastAsia="Segoe UI" w:hAnsi="Segoe UI" w:cs="Segoe UI"/>
          <w:color w:val="323130"/>
          <w:sz w:val="20"/>
          <w:szCs w:val="20"/>
        </w:rPr>
        <w:br/>
        <w:t>For a record to directly relate to a student, the student must be the focus of the record, not simply in the background or incidental to a report.</w:t>
      </w:r>
    </w:p>
    <w:p w14:paraId="4945B7EE" w14:textId="77777777" w:rsidR="000363CB" w:rsidRDefault="000363CB" w:rsidP="000363CB">
      <w:pPr>
        <w:spacing w:after="110"/>
      </w:pPr>
      <w:r>
        <w:rPr>
          <w:rFonts w:ascii="Segoe UI" w:eastAsia="Segoe UI" w:hAnsi="Segoe UI" w:cs="Segoe UI"/>
          <w:color w:val="605E5C"/>
          <w:sz w:val="20"/>
          <w:szCs w:val="20"/>
        </w:rPr>
        <w:br/>
        <w:t>1:35</w:t>
      </w:r>
      <w:r>
        <w:rPr>
          <w:rFonts w:ascii="Segoe UI" w:eastAsia="Segoe UI" w:hAnsi="Segoe UI" w:cs="Segoe UI"/>
          <w:color w:val="323130"/>
          <w:sz w:val="20"/>
          <w:szCs w:val="20"/>
        </w:rPr>
        <w:br/>
      </w:r>
      <w:r>
        <w:rPr>
          <w:rFonts w:ascii="Segoe UI" w:eastAsia="Segoe UI" w:hAnsi="Segoe UI" w:cs="Segoe UI"/>
          <w:color w:val="323130"/>
          <w:sz w:val="20"/>
          <w:szCs w:val="20"/>
        </w:rPr>
        <w:lastRenderedPageBreak/>
        <w:t>The Supreme Court has described education records as institutional records kept by a single central custodian, such as a registrar.</w:t>
      </w:r>
    </w:p>
    <w:p w14:paraId="12ADF483" w14:textId="77777777" w:rsidR="000363CB" w:rsidRDefault="000363CB" w:rsidP="000363CB">
      <w:pPr>
        <w:spacing w:after="110"/>
      </w:pPr>
      <w:r>
        <w:rPr>
          <w:rFonts w:ascii="Segoe UI" w:eastAsia="Segoe UI" w:hAnsi="Segoe UI" w:cs="Segoe UI"/>
          <w:color w:val="605E5C"/>
          <w:sz w:val="20"/>
          <w:szCs w:val="20"/>
        </w:rPr>
        <w:br/>
        <w:t>1:45</w:t>
      </w:r>
      <w:r>
        <w:rPr>
          <w:rFonts w:ascii="Segoe UI" w:eastAsia="Segoe UI" w:hAnsi="Segoe UI" w:cs="Segoe UI"/>
          <w:color w:val="323130"/>
          <w:sz w:val="20"/>
          <w:szCs w:val="20"/>
        </w:rPr>
        <w:br/>
        <w:t>In other words, for FERPA to apply, the record in question must be systematically maintained by the school.</w:t>
      </w:r>
    </w:p>
    <w:p w14:paraId="368A1145" w14:textId="77777777" w:rsidR="000363CB" w:rsidRDefault="000363CB" w:rsidP="000363CB">
      <w:pPr>
        <w:spacing w:after="110"/>
      </w:pPr>
      <w:r>
        <w:rPr>
          <w:rFonts w:ascii="Segoe UI" w:eastAsia="Segoe UI" w:hAnsi="Segoe UI" w:cs="Segoe UI"/>
          <w:color w:val="605E5C"/>
          <w:sz w:val="20"/>
          <w:szCs w:val="20"/>
        </w:rPr>
        <w:br/>
        <w:t>1:55</w:t>
      </w:r>
      <w:r>
        <w:rPr>
          <w:rFonts w:ascii="Segoe UI" w:eastAsia="Segoe UI" w:hAnsi="Segoe UI" w:cs="Segoe UI"/>
          <w:color w:val="323130"/>
          <w:sz w:val="20"/>
          <w:szCs w:val="20"/>
        </w:rPr>
        <w:br/>
        <w:t>Another important concept to keep in mind is that the Title 9 grievance procedure is an impartial process.</w:t>
      </w:r>
    </w:p>
    <w:p w14:paraId="69C54913" w14:textId="77777777" w:rsidR="000363CB" w:rsidRDefault="000363CB" w:rsidP="000363CB">
      <w:pPr>
        <w:spacing w:after="110"/>
      </w:pPr>
      <w:r>
        <w:rPr>
          <w:rFonts w:ascii="Segoe UI" w:eastAsia="Segoe UI" w:hAnsi="Segoe UI" w:cs="Segoe UI"/>
          <w:color w:val="605E5C"/>
          <w:sz w:val="20"/>
          <w:szCs w:val="20"/>
        </w:rPr>
        <w:br/>
        <w:t>2:01</w:t>
      </w:r>
      <w:r>
        <w:rPr>
          <w:rFonts w:ascii="Segoe UI" w:eastAsia="Segoe UI" w:hAnsi="Segoe UI" w:cs="Segoe UI"/>
          <w:color w:val="323130"/>
          <w:sz w:val="20"/>
          <w:szCs w:val="20"/>
        </w:rPr>
        <w:br/>
        <w:t>The Title 9 cases are not criminal or civil proceedings.</w:t>
      </w:r>
    </w:p>
    <w:p w14:paraId="509142E8" w14:textId="77777777" w:rsidR="000363CB" w:rsidRDefault="000363CB" w:rsidP="000363CB">
      <w:pPr>
        <w:spacing w:after="110"/>
      </w:pPr>
      <w:r>
        <w:rPr>
          <w:rFonts w:ascii="Segoe UI" w:eastAsia="Segoe UI" w:hAnsi="Segoe UI" w:cs="Segoe UI"/>
          <w:color w:val="605E5C"/>
          <w:sz w:val="20"/>
          <w:szCs w:val="20"/>
        </w:rPr>
        <w:br/>
        <w:t>2:05</w:t>
      </w:r>
      <w:r>
        <w:rPr>
          <w:rFonts w:ascii="Segoe UI" w:eastAsia="Segoe UI" w:hAnsi="Segoe UI" w:cs="Segoe UI"/>
          <w:color w:val="323130"/>
          <w:sz w:val="20"/>
          <w:szCs w:val="20"/>
        </w:rPr>
        <w:br/>
        <w:t>Rather, they are administrative proceedings.</w:t>
      </w:r>
    </w:p>
    <w:p w14:paraId="6FC0926C" w14:textId="77777777" w:rsidR="000363CB" w:rsidRDefault="000363CB" w:rsidP="000363CB">
      <w:pPr>
        <w:spacing w:after="110"/>
      </w:pPr>
      <w:r>
        <w:rPr>
          <w:rFonts w:ascii="Segoe UI" w:eastAsia="Segoe UI" w:hAnsi="Segoe UI" w:cs="Segoe UI"/>
          <w:color w:val="605E5C"/>
          <w:sz w:val="20"/>
          <w:szCs w:val="20"/>
        </w:rPr>
        <w:br/>
        <w:t>2:08</w:t>
      </w:r>
      <w:r>
        <w:rPr>
          <w:rFonts w:ascii="Segoe UI" w:eastAsia="Segoe UI" w:hAnsi="Segoe UI" w:cs="Segoe UI"/>
          <w:color w:val="323130"/>
          <w:sz w:val="20"/>
          <w:szCs w:val="20"/>
        </w:rPr>
        <w:br/>
        <w:t>Findings of guilt or innocence are not applicable here.</w:t>
      </w:r>
    </w:p>
    <w:p w14:paraId="49BE38C3" w14:textId="77777777" w:rsidR="000363CB" w:rsidRDefault="000363CB" w:rsidP="000363CB">
      <w:pPr>
        <w:spacing w:after="110"/>
      </w:pPr>
      <w:r>
        <w:rPr>
          <w:rFonts w:ascii="Segoe UI" w:eastAsia="Segoe UI" w:hAnsi="Segoe UI" w:cs="Segoe UI"/>
          <w:color w:val="605E5C"/>
          <w:sz w:val="20"/>
          <w:szCs w:val="20"/>
        </w:rPr>
        <w:br/>
        <w:t>2:12</w:t>
      </w:r>
      <w:r>
        <w:rPr>
          <w:rFonts w:ascii="Segoe UI" w:eastAsia="Segoe UI" w:hAnsi="Segoe UI" w:cs="Segoe UI"/>
          <w:color w:val="323130"/>
          <w:sz w:val="20"/>
          <w:szCs w:val="20"/>
        </w:rPr>
        <w:br/>
        <w:t>Instead, hearing officers must determine whether a respondent is responsible or not responsible for the alleged conduct.</w:t>
      </w:r>
    </w:p>
    <w:p w14:paraId="219470AD" w14:textId="77777777" w:rsidR="000363CB" w:rsidRDefault="000363CB" w:rsidP="000363CB">
      <w:pPr>
        <w:spacing w:after="110"/>
      </w:pPr>
      <w:r>
        <w:rPr>
          <w:rFonts w:ascii="Segoe UI" w:eastAsia="Segoe UI" w:hAnsi="Segoe UI" w:cs="Segoe UI"/>
          <w:color w:val="605E5C"/>
          <w:sz w:val="20"/>
          <w:szCs w:val="20"/>
        </w:rPr>
        <w:br/>
        <w:t>2:21</w:t>
      </w:r>
      <w:r>
        <w:rPr>
          <w:rFonts w:ascii="Segoe UI" w:eastAsia="Segoe UI" w:hAnsi="Segoe UI" w:cs="Segoe UI"/>
          <w:color w:val="323130"/>
          <w:sz w:val="20"/>
          <w:szCs w:val="20"/>
        </w:rPr>
        <w:br/>
        <w:t>While this process may run concurrently to a criminal process, they are not the same and institutions should not follow formal rules of evidence and criminal procedure.</w:t>
      </w:r>
    </w:p>
    <w:p w14:paraId="56B35C89" w14:textId="77777777" w:rsidR="000363CB" w:rsidRDefault="000363CB" w:rsidP="000363CB">
      <w:pPr>
        <w:spacing w:after="110"/>
      </w:pPr>
      <w:r>
        <w:rPr>
          <w:rFonts w:ascii="Segoe UI" w:eastAsia="Segoe UI" w:hAnsi="Segoe UI" w:cs="Segoe UI"/>
          <w:color w:val="605E5C"/>
          <w:sz w:val="20"/>
          <w:szCs w:val="20"/>
        </w:rPr>
        <w:br/>
        <w:t>2:40</w:t>
      </w:r>
      <w:r>
        <w:rPr>
          <w:rFonts w:ascii="Segoe UI" w:eastAsia="Segoe UI" w:hAnsi="Segoe UI" w:cs="Segoe UI"/>
          <w:color w:val="323130"/>
          <w:sz w:val="20"/>
          <w:szCs w:val="20"/>
        </w:rPr>
        <w:br/>
        <w:t>The setting and technical functions of the live hearing play a crucial role in the Title 9 grievance procedure.</w:t>
      </w:r>
    </w:p>
    <w:p w14:paraId="39F1DCBF" w14:textId="77777777" w:rsidR="000363CB" w:rsidRDefault="000363CB" w:rsidP="000363CB">
      <w:pPr>
        <w:spacing w:after="110"/>
      </w:pPr>
      <w:r>
        <w:rPr>
          <w:rFonts w:ascii="Segoe UI" w:eastAsia="Segoe UI" w:hAnsi="Segoe UI" w:cs="Segoe UI"/>
          <w:color w:val="605E5C"/>
          <w:sz w:val="20"/>
          <w:szCs w:val="20"/>
        </w:rPr>
        <w:br/>
        <w:t>2:46</w:t>
      </w:r>
      <w:r>
        <w:rPr>
          <w:rFonts w:ascii="Segoe UI" w:eastAsia="Segoe UI" w:hAnsi="Segoe UI" w:cs="Segoe UI"/>
          <w:color w:val="323130"/>
          <w:sz w:val="20"/>
          <w:szCs w:val="20"/>
        </w:rPr>
        <w:br/>
        <w:t>All parties, advisors, witnesses and decision makers must be present at the same time, either physically or remotely via secure technology.</w:t>
      </w:r>
    </w:p>
    <w:p w14:paraId="0EAE5139" w14:textId="77777777" w:rsidR="000363CB" w:rsidRDefault="000363CB" w:rsidP="000363CB">
      <w:pPr>
        <w:spacing w:after="110"/>
      </w:pPr>
      <w:r>
        <w:rPr>
          <w:rFonts w:ascii="Segoe UI" w:eastAsia="Segoe UI" w:hAnsi="Segoe UI" w:cs="Segoe UI"/>
          <w:color w:val="605E5C"/>
          <w:sz w:val="20"/>
          <w:szCs w:val="20"/>
        </w:rPr>
        <w:br/>
        <w:t>2:55</w:t>
      </w:r>
      <w:r>
        <w:rPr>
          <w:rFonts w:ascii="Segoe UI" w:eastAsia="Segoe UI" w:hAnsi="Segoe UI" w:cs="Segoe UI"/>
          <w:color w:val="323130"/>
          <w:sz w:val="20"/>
          <w:szCs w:val="20"/>
        </w:rPr>
        <w:br/>
        <w:t xml:space="preserve">Decision makers must be able to see and hear parties and witnesses, ask questions of the parties and witnesses, and decide </w:t>
      </w:r>
      <w:proofErr w:type="gramStart"/>
      <w:r>
        <w:rPr>
          <w:rFonts w:ascii="Segoe UI" w:eastAsia="Segoe UI" w:hAnsi="Segoe UI" w:cs="Segoe UI"/>
          <w:color w:val="323130"/>
          <w:sz w:val="20"/>
          <w:szCs w:val="20"/>
        </w:rPr>
        <w:t>whether or not</w:t>
      </w:r>
      <w:proofErr w:type="gramEnd"/>
      <w:r>
        <w:rPr>
          <w:rFonts w:ascii="Segoe UI" w:eastAsia="Segoe UI" w:hAnsi="Segoe UI" w:cs="Segoe UI"/>
          <w:color w:val="323130"/>
          <w:sz w:val="20"/>
          <w:szCs w:val="20"/>
        </w:rPr>
        <w:t xml:space="preserve"> a question is relevant in real time.</w:t>
      </w:r>
    </w:p>
    <w:p w14:paraId="506EB645" w14:textId="77777777" w:rsidR="000363CB" w:rsidRDefault="000363CB" w:rsidP="000363CB">
      <w:pPr>
        <w:spacing w:after="110"/>
      </w:pPr>
      <w:r>
        <w:rPr>
          <w:rFonts w:ascii="Segoe UI" w:eastAsia="Segoe UI" w:hAnsi="Segoe UI" w:cs="Segoe UI"/>
          <w:color w:val="605E5C"/>
          <w:sz w:val="20"/>
          <w:szCs w:val="20"/>
        </w:rPr>
        <w:br/>
        <w:t>3:05</w:t>
      </w:r>
      <w:r>
        <w:rPr>
          <w:rFonts w:ascii="Segoe UI" w:eastAsia="Segoe UI" w:hAnsi="Segoe UI" w:cs="Segoe UI"/>
          <w:color w:val="323130"/>
          <w:sz w:val="20"/>
          <w:szCs w:val="20"/>
        </w:rPr>
        <w:br/>
        <w:t>Advisors must also be able to ask relevant questions during cross examination in real time while listening to testimony during the live hearing.</w:t>
      </w:r>
    </w:p>
    <w:p w14:paraId="4253689B" w14:textId="77777777" w:rsidR="000363CB" w:rsidRDefault="000363CB" w:rsidP="000363CB">
      <w:pPr>
        <w:spacing w:after="110"/>
      </w:pPr>
      <w:r>
        <w:rPr>
          <w:rFonts w:ascii="Segoe UI" w:eastAsia="Segoe UI" w:hAnsi="Segoe UI" w:cs="Segoe UI"/>
          <w:color w:val="605E5C"/>
          <w:sz w:val="20"/>
          <w:szCs w:val="20"/>
        </w:rPr>
        <w:lastRenderedPageBreak/>
        <w:br/>
        <w:t>3:14</w:t>
      </w:r>
      <w:r>
        <w:rPr>
          <w:rFonts w:ascii="Segoe UI" w:eastAsia="Segoe UI" w:hAnsi="Segoe UI" w:cs="Segoe UI"/>
          <w:color w:val="323130"/>
          <w:sz w:val="20"/>
          <w:szCs w:val="20"/>
        </w:rPr>
        <w:br/>
        <w:t>Hearing officers must keep in mind the No Adverse Inference rule.</w:t>
      </w:r>
    </w:p>
    <w:p w14:paraId="14E0DF99" w14:textId="77777777" w:rsidR="000363CB" w:rsidRDefault="000363CB" w:rsidP="000363CB">
      <w:pPr>
        <w:spacing w:after="110"/>
      </w:pPr>
      <w:r>
        <w:rPr>
          <w:rFonts w:ascii="Segoe UI" w:eastAsia="Segoe UI" w:hAnsi="Segoe UI" w:cs="Segoe UI"/>
          <w:color w:val="605E5C"/>
          <w:sz w:val="20"/>
          <w:szCs w:val="20"/>
        </w:rPr>
        <w:br/>
        <w:t>3:19</w:t>
      </w:r>
      <w:r>
        <w:rPr>
          <w:rFonts w:ascii="Segoe UI" w:eastAsia="Segoe UI" w:hAnsi="Segoe UI" w:cs="Segoe UI"/>
          <w:color w:val="323130"/>
          <w:sz w:val="20"/>
          <w:szCs w:val="20"/>
        </w:rPr>
        <w:br/>
        <w:t>This rule means that there must be no inference of responsibility from a student's decision not to testify.</w:t>
      </w:r>
    </w:p>
    <w:p w14:paraId="11EEA988" w14:textId="77777777" w:rsidR="000363CB" w:rsidRDefault="000363CB" w:rsidP="000363CB">
      <w:pPr>
        <w:spacing w:after="110"/>
      </w:pPr>
      <w:r>
        <w:rPr>
          <w:rFonts w:ascii="Segoe UI" w:eastAsia="Segoe UI" w:hAnsi="Segoe UI" w:cs="Segoe UI"/>
          <w:color w:val="605E5C"/>
          <w:sz w:val="20"/>
          <w:szCs w:val="20"/>
        </w:rPr>
        <w:br/>
        <w:t>3:34</w:t>
      </w:r>
      <w:r>
        <w:rPr>
          <w:rFonts w:ascii="Segoe UI" w:eastAsia="Segoe UI" w:hAnsi="Segoe UI" w:cs="Segoe UI"/>
          <w:color w:val="323130"/>
          <w:sz w:val="20"/>
          <w:szCs w:val="20"/>
        </w:rPr>
        <w:br/>
        <w:t>As we just discussed, parties must undergo live relevant questioning as determined by the decision maker in real time.</w:t>
      </w:r>
    </w:p>
    <w:p w14:paraId="0BEA7BAF" w14:textId="77777777" w:rsidR="000363CB" w:rsidRDefault="000363CB" w:rsidP="000363CB">
      <w:pPr>
        <w:spacing w:after="110"/>
      </w:pPr>
      <w:r>
        <w:rPr>
          <w:rFonts w:ascii="Segoe UI" w:eastAsia="Segoe UI" w:hAnsi="Segoe UI" w:cs="Segoe UI"/>
          <w:color w:val="605E5C"/>
          <w:sz w:val="20"/>
          <w:szCs w:val="20"/>
        </w:rPr>
        <w:br/>
        <w:t>3:41</w:t>
      </w:r>
      <w:r>
        <w:rPr>
          <w:rFonts w:ascii="Segoe UI" w:eastAsia="Segoe UI" w:hAnsi="Segoe UI" w:cs="Segoe UI"/>
          <w:color w:val="323130"/>
          <w:sz w:val="20"/>
          <w:szCs w:val="20"/>
        </w:rPr>
        <w:br/>
        <w:t>Questions must only be asked by the advisors for each party, and parties are not permitted to ask direct questions to each other.</w:t>
      </w:r>
    </w:p>
    <w:p w14:paraId="3D97A1AC" w14:textId="77777777" w:rsidR="000363CB" w:rsidRDefault="000363CB" w:rsidP="000363CB">
      <w:pPr>
        <w:spacing w:after="110"/>
      </w:pPr>
      <w:r>
        <w:rPr>
          <w:rFonts w:ascii="Segoe UI" w:eastAsia="Segoe UI" w:hAnsi="Segoe UI" w:cs="Segoe UI"/>
          <w:color w:val="605E5C"/>
          <w:sz w:val="20"/>
          <w:szCs w:val="20"/>
        </w:rPr>
        <w:br/>
        <w:t>3:49</w:t>
      </w:r>
      <w:r>
        <w:rPr>
          <w:rFonts w:ascii="Segoe UI" w:eastAsia="Segoe UI" w:hAnsi="Segoe UI" w:cs="Segoe UI"/>
          <w:color w:val="323130"/>
          <w:sz w:val="20"/>
          <w:szCs w:val="20"/>
        </w:rPr>
        <w:br/>
        <w:t xml:space="preserve">If a question is refused, decision makers can still rely on </w:t>
      </w:r>
      <w:proofErr w:type="spellStart"/>
      <w:r>
        <w:rPr>
          <w:rFonts w:ascii="Segoe UI" w:eastAsia="Segoe UI" w:hAnsi="Segoe UI" w:cs="Segoe UI"/>
          <w:color w:val="323130"/>
          <w:sz w:val="20"/>
          <w:szCs w:val="20"/>
        </w:rPr>
        <w:t>non statement</w:t>
      </w:r>
      <w:proofErr w:type="spellEnd"/>
      <w:r>
        <w:rPr>
          <w:rFonts w:ascii="Segoe UI" w:eastAsia="Segoe UI" w:hAnsi="Segoe UI" w:cs="Segoe UI"/>
          <w:color w:val="323130"/>
          <w:sz w:val="20"/>
          <w:szCs w:val="20"/>
        </w:rPr>
        <w:t xml:space="preserve"> evidence but cannot draw an inference about responsibility from a party's refusal to answer a question.</w:t>
      </w:r>
    </w:p>
    <w:p w14:paraId="7D2206B1" w14:textId="77777777" w:rsidR="000363CB" w:rsidRDefault="000363CB" w:rsidP="000363CB">
      <w:pPr>
        <w:spacing w:after="110"/>
      </w:pPr>
      <w:r>
        <w:rPr>
          <w:rFonts w:ascii="Segoe UI" w:eastAsia="Segoe UI" w:hAnsi="Segoe UI" w:cs="Segoe UI"/>
          <w:color w:val="605E5C"/>
          <w:sz w:val="20"/>
          <w:szCs w:val="20"/>
        </w:rPr>
        <w:br/>
        <w:t>4:00</w:t>
      </w:r>
      <w:r>
        <w:rPr>
          <w:rFonts w:ascii="Segoe UI" w:eastAsia="Segoe UI" w:hAnsi="Segoe UI" w:cs="Segoe UI"/>
          <w:color w:val="323130"/>
          <w:sz w:val="20"/>
          <w:szCs w:val="20"/>
        </w:rPr>
        <w:br/>
        <w:t>Institutions can adopt rules to govern the Title 9 grievance process so long as they apply equally to both parties, such as rules of decorum.</w:t>
      </w:r>
    </w:p>
    <w:p w14:paraId="1D67B1E2" w14:textId="77777777" w:rsidR="000363CB" w:rsidRDefault="000363CB" w:rsidP="000363CB">
      <w:pPr>
        <w:spacing w:after="110"/>
      </w:pPr>
      <w:r>
        <w:rPr>
          <w:rFonts w:ascii="Segoe UI" w:eastAsia="Segoe UI" w:hAnsi="Segoe UI" w:cs="Segoe UI"/>
          <w:color w:val="605E5C"/>
          <w:sz w:val="20"/>
          <w:szCs w:val="20"/>
        </w:rPr>
        <w:br/>
        <w:t>4:12</w:t>
      </w:r>
      <w:r>
        <w:rPr>
          <w:rFonts w:ascii="Segoe UI" w:eastAsia="Segoe UI" w:hAnsi="Segoe UI" w:cs="Segoe UI"/>
          <w:color w:val="323130"/>
          <w:sz w:val="20"/>
          <w:szCs w:val="20"/>
        </w:rPr>
        <w:br/>
        <w:t>While hearings must allow live cross examination by the party's advisors, there are guidelines regarding which questions may be asked.</w:t>
      </w:r>
    </w:p>
    <w:p w14:paraId="2E1FEF10" w14:textId="77777777" w:rsidR="000363CB" w:rsidRDefault="000363CB" w:rsidP="000363CB">
      <w:pPr>
        <w:spacing w:after="110"/>
      </w:pPr>
      <w:r>
        <w:rPr>
          <w:rFonts w:ascii="Segoe UI" w:eastAsia="Segoe UI" w:hAnsi="Segoe UI" w:cs="Segoe UI"/>
          <w:color w:val="605E5C"/>
          <w:sz w:val="20"/>
          <w:szCs w:val="20"/>
        </w:rPr>
        <w:br/>
        <w:t>4:20</w:t>
      </w:r>
      <w:r>
        <w:rPr>
          <w:rFonts w:ascii="Segoe UI" w:eastAsia="Segoe UI" w:hAnsi="Segoe UI" w:cs="Segoe UI"/>
          <w:color w:val="323130"/>
          <w:sz w:val="20"/>
          <w:szCs w:val="20"/>
        </w:rPr>
        <w:br/>
        <w:t>Any question posed by an advisor must be evaluated for relevance in real time by the hearing officer.</w:t>
      </w:r>
    </w:p>
    <w:p w14:paraId="1A2308FD" w14:textId="77777777" w:rsidR="000363CB" w:rsidRDefault="000363CB" w:rsidP="000363CB">
      <w:pPr>
        <w:spacing w:after="110"/>
      </w:pPr>
      <w:r>
        <w:rPr>
          <w:rFonts w:ascii="Segoe UI" w:eastAsia="Segoe UI" w:hAnsi="Segoe UI" w:cs="Segoe UI"/>
          <w:color w:val="605E5C"/>
          <w:sz w:val="20"/>
          <w:szCs w:val="20"/>
        </w:rPr>
        <w:br/>
        <w:t>4:27</w:t>
      </w:r>
      <w:r>
        <w:rPr>
          <w:rFonts w:ascii="Segoe UI" w:eastAsia="Segoe UI" w:hAnsi="Segoe UI" w:cs="Segoe UI"/>
          <w:color w:val="323130"/>
          <w:sz w:val="20"/>
          <w:szCs w:val="20"/>
        </w:rPr>
        <w:br/>
        <w:t>Only relevant cross examination and other questions may be asked of a party or witness.</w:t>
      </w:r>
    </w:p>
    <w:p w14:paraId="4D1C9306" w14:textId="77777777" w:rsidR="000363CB" w:rsidRDefault="000363CB" w:rsidP="000363CB">
      <w:pPr>
        <w:spacing w:after="110"/>
      </w:pPr>
      <w:r>
        <w:rPr>
          <w:rFonts w:ascii="Segoe UI" w:eastAsia="Segoe UI" w:hAnsi="Segoe UI" w:cs="Segoe UI"/>
          <w:color w:val="605E5C"/>
          <w:sz w:val="20"/>
          <w:szCs w:val="20"/>
        </w:rPr>
        <w:br/>
        <w:t>4:32</w:t>
      </w:r>
      <w:r>
        <w:rPr>
          <w:rFonts w:ascii="Segoe UI" w:eastAsia="Segoe UI" w:hAnsi="Segoe UI" w:cs="Segoe UI"/>
          <w:color w:val="323130"/>
          <w:sz w:val="20"/>
          <w:szCs w:val="20"/>
        </w:rPr>
        <w:br/>
        <w:t>Before a complainant, respondent or witness answers any question, the decision maker must first determine whether the question is relevant and explain any decision to exclude a question as not relevant.</w:t>
      </w:r>
    </w:p>
    <w:p w14:paraId="5C412119" w14:textId="77777777" w:rsidR="000363CB" w:rsidRDefault="000363CB" w:rsidP="000363CB">
      <w:pPr>
        <w:spacing w:after="110"/>
      </w:pPr>
      <w:r>
        <w:rPr>
          <w:rFonts w:ascii="Segoe UI" w:eastAsia="Segoe UI" w:hAnsi="Segoe UI" w:cs="Segoe UI"/>
          <w:color w:val="605E5C"/>
          <w:sz w:val="20"/>
          <w:szCs w:val="20"/>
        </w:rPr>
        <w:br/>
        <w:t>4:45</w:t>
      </w:r>
      <w:r>
        <w:rPr>
          <w:rFonts w:ascii="Segoe UI" w:eastAsia="Segoe UI" w:hAnsi="Segoe UI" w:cs="Segoe UI"/>
          <w:color w:val="323130"/>
          <w:sz w:val="20"/>
          <w:szCs w:val="20"/>
        </w:rPr>
        <w:br/>
        <w:t>But what exactly is a relevant question?</w:t>
      </w:r>
    </w:p>
    <w:p w14:paraId="499FA6B4" w14:textId="77777777" w:rsidR="000363CB" w:rsidRDefault="000363CB" w:rsidP="000363CB">
      <w:pPr>
        <w:spacing w:after="110"/>
      </w:pPr>
      <w:r>
        <w:rPr>
          <w:rFonts w:ascii="Segoe UI" w:eastAsia="Segoe UI" w:hAnsi="Segoe UI" w:cs="Segoe UI"/>
          <w:color w:val="605E5C"/>
          <w:sz w:val="20"/>
          <w:szCs w:val="20"/>
        </w:rPr>
        <w:br/>
        <w:t>4:48</w:t>
      </w:r>
      <w:r>
        <w:rPr>
          <w:rFonts w:ascii="Segoe UI" w:eastAsia="Segoe UI" w:hAnsi="Segoe UI" w:cs="Segoe UI"/>
          <w:color w:val="323130"/>
          <w:sz w:val="20"/>
          <w:szCs w:val="20"/>
        </w:rPr>
        <w:br/>
        <w:t>The Department of Education encourages institutions to apply the plain and ordinary meaning of relevance in their determinations.</w:t>
      </w:r>
    </w:p>
    <w:p w14:paraId="0CCB3371" w14:textId="77777777" w:rsidR="000363CB" w:rsidRDefault="000363CB" w:rsidP="000363CB">
      <w:pPr>
        <w:spacing w:after="110"/>
      </w:pPr>
      <w:r>
        <w:rPr>
          <w:rFonts w:ascii="Segoe UI" w:eastAsia="Segoe UI" w:hAnsi="Segoe UI" w:cs="Segoe UI"/>
          <w:color w:val="605E5C"/>
          <w:sz w:val="20"/>
          <w:szCs w:val="20"/>
        </w:rPr>
        <w:lastRenderedPageBreak/>
        <w:br/>
        <w:t>4:56</w:t>
      </w:r>
      <w:r>
        <w:rPr>
          <w:rFonts w:ascii="Segoe UI" w:eastAsia="Segoe UI" w:hAnsi="Segoe UI" w:cs="Segoe UI"/>
          <w:color w:val="323130"/>
          <w:sz w:val="20"/>
          <w:szCs w:val="20"/>
        </w:rPr>
        <w:br/>
        <w:t>Basically, a relevant question will ask whether the facts material to the allegations under investigation are more or less likely to be true.</w:t>
      </w:r>
    </w:p>
    <w:p w14:paraId="6A8126AD" w14:textId="77777777" w:rsidR="000363CB" w:rsidRDefault="000363CB" w:rsidP="000363CB">
      <w:pPr>
        <w:spacing w:after="110"/>
      </w:pPr>
      <w:r>
        <w:rPr>
          <w:rFonts w:ascii="Segoe UI" w:eastAsia="Segoe UI" w:hAnsi="Segoe UI" w:cs="Segoe UI"/>
          <w:color w:val="605E5C"/>
          <w:sz w:val="20"/>
          <w:szCs w:val="20"/>
        </w:rPr>
        <w:br/>
        <w:t>5:05</w:t>
      </w:r>
      <w:r>
        <w:rPr>
          <w:rFonts w:ascii="Segoe UI" w:eastAsia="Segoe UI" w:hAnsi="Segoe UI" w:cs="Segoe UI"/>
          <w:color w:val="323130"/>
          <w:sz w:val="20"/>
          <w:szCs w:val="20"/>
        </w:rPr>
        <w:br/>
        <w:t>A question not directly related to the allegations will generally be irrelevant.</w:t>
      </w:r>
    </w:p>
    <w:p w14:paraId="77B5B6A0" w14:textId="77777777" w:rsidR="000363CB" w:rsidRDefault="000363CB" w:rsidP="000363CB">
      <w:pPr>
        <w:spacing w:after="110"/>
      </w:pPr>
      <w:r>
        <w:rPr>
          <w:rFonts w:ascii="Segoe UI" w:eastAsia="Segoe UI" w:hAnsi="Segoe UI" w:cs="Segoe UI"/>
          <w:color w:val="605E5C"/>
          <w:sz w:val="20"/>
          <w:szCs w:val="20"/>
        </w:rPr>
        <w:br/>
        <w:t>5:10</w:t>
      </w:r>
      <w:r>
        <w:rPr>
          <w:rFonts w:ascii="Segoe UI" w:eastAsia="Segoe UI" w:hAnsi="Segoe UI" w:cs="Segoe UI"/>
          <w:color w:val="323130"/>
          <w:sz w:val="20"/>
          <w:szCs w:val="20"/>
        </w:rPr>
        <w:br/>
        <w:t>Officials should use common sense in this understanding.</w:t>
      </w:r>
    </w:p>
    <w:p w14:paraId="112C1B07" w14:textId="77777777" w:rsidR="000363CB" w:rsidRDefault="000363CB" w:rsidP="000363CB">
      <w:pPr>
        <w:spacing w:after="110"/>
      </w:pPr>
      <w:r>
        <w:rPr>
          <w:rFonts w:ascii="Segoe UI" w:eastAsia="Segoe UI" w:hAnsi="Segoe UI" w:cs="Segoe UI"/>
          <w:color w:val="605E5C"/>
          <w:sz w:val="20"/>
          <w:szCs w:val="20"/>
        </w:rPr>
        <w:br/>
        <w:t>5:13</w:t>
      </w:r>
      <w:r>
        <w:rPr>
          <w:rFonts w:ascii="Segoe UI" w:eastAsia="Segoe UI" w:hAnsi="Segoe UI" w:cs="Segoe UI"/>
          <w:color w:val="323130"/>
          <w:sz w:val="20"/>
          <w:szCs w:val="20"/>
        </w:rPr>
        <w:br/>
        <w:t>Things may be interesting or surprising, but not necessarily relevant.</w:t>
      </w:r>
    </w:p>
    <w:p w14:paraId="64159B9B" w14:textId="77777777" w:rsidR="000363CB" w:rsidRDefault="000363CB" w:rsidP="000363CB">
      <w:pPr>
        <w:spacing w:after="110"/>
      </w:pPr>
      <w:r>
        <w:rPr>
          <w:rFonts w:ascii="Segoe UI" w:eastAsia="Segoe UI" w:hAnsi="Segoe UI" w:cs="Segoe UI"/>
          <w:color w:val="605E5C"/>
          <w:sz w:val="20"/>
          <w:szCs w:val="20"/>
        </w:rPr>
        <w:br/>
        <w:t>5:19</w:t>
      </w:r>
      <w:r>
        <w:rPr>
          <w:rFonts w:ascii="Segoe UI" w:eastAsia="Segoe UI" w:hAnsi="Segoe UI" w:cs="Segoe UI"/>
          <w:color w:val="323130"/>
          <w:sz w:val="20"/>
          <w:szCs w:val="20"/>
        </w:rPr>
        <w:br/>
        <w:t xml:space="preserve">Relevance decisions should be made on a </w:t>
      </w:r>
      <w:proofErr w:type="gramStart"/>
      <w:r>
        <w:rPr>
          <w:rFonts w:ascii="Segoe UI" w:eastAsia="Segoe UI" w:hAnsi="Segoe UI" w:cs="Segoe UI"/>
          <w:color w:val="323130"/>
          <w:sz w:val="20"/>
          <w:szCs w:val="20"/>
        </w:rPr>
        <w:t>question by question</w:t>
      </w:r>
      <w:proofErr w:type="gramEnd"/>
      <w:r>
        <w:rPr>
          <w:rFonts w:ascii="Segoe UI" w:eastAsia="Segoe UI" w:hAnsi="Segoe UI" w:cs="Segoe UI"/>
          <w:color w:val="323130"/>
          <w:sz w:val="20"/>
          <w:szCs w:val="20"/>
        </w:rPr>
        <w:t xml:space="preserve"> basis, looking narrowly at whether the question seeks information that will help the decision maker make the underlying determination.</w:t>
      </w:r>
    </w:p>
    <w:p w14:paraId="2BFF6EC3" w14:textId="77777777" w:rsidR="000363CB" w:rsidRDefault="000363CB" w:rsidP="000363CB">
      <w:pPr>
        <w:spacing w:after="110"/>
      </w:pPr>
      <w:r>
        <w:rPr>
          <w:rFonts w:ascii="Segoe UI" w:eastAsia="Segoe UI" w:hAnsi="Segoe UI" w:cs="Segoe UI"/>
          <w:color w:val="605E5C"/>
          <w:sz w:val="20"/>
          <w:szCs w:val="20"/>
        </w:rPr>
        <w:br/>
        <w:t>5:30</w:t>
      </w:r>
      <w:r>
        <w:rPr>
          <w:rFonts w:ascii="Segoe UI" w:eastAsia="Segoe UI" w:hAnsi="Segoe UI" w:cs="Segoe UI"/>
          <w:color w:val="323130"/>
          <w:sz w:val="20"/>
          <w:szCs w:val="20"/>
        </w:rPr>
        <w:br/>
        <w:t>Relevance decisions should not be based in whole or in part upon the sex of the party for whom it is asked or to whom it is asked.</w:t>
      </w:r>
    </w:p>
    <w:p w14:paraId="0149066F" w14:textId="77777777" w:rsidR="000363CB" w:rsidRDefault="000363CB" w:rsidP="000363CB">
      <w:pPr>
        <w:spacing w:after="110"/>
      </w:pPr>
      <w:r>
        <w:rPr>
          <w:rFonts w:ascii="Segoe UI" w:eastAsia="Segoe UI" w:hAnsi="Segoe UI" w:cs="Segoe UI"/>
          <w:color w:val="605E5C"/>
          <w:sz w:val="20"/>
          <w:szCs w:val="20"/>
        </w:rPr>
        <w:br/>
        <w:t>5:38</w:t>
      </w:r>
      <w:r>
        <w:rPr>
          <w:rFonts w:ascii="Segoe UI" w:eastAsia="Segoe UI" w:hAnsi="Segoe UI" w:cs="Segoe UI"/>
          <w:color w:val="323130"/>
          <w:sz w:val="20"/>
          <w:szCs w:val="20"/>
        </w:rPr>
        <w:br/>
        <w:t>Nor should it be based on their status as a complainant or respondent, their past status as a complainant or respondent, any organizations of which they are a member, or any other protected class covered by federal or state law.</w:t>
      </w:r>
    </w:p>
    <w:p w14:paraId="698890C3" w14:textId="77777777" w:rsidR="000363CB" w:rsidRDefault="000363CB" w:rsidP="000363CB">
      <w:pPr>
        <w:spacing w:after="110"/>
      </w:pPr>
      <w:r>
        <w:rPr>
          <w:rFonts w:ascii="Segoe UI" w:eastAsia="Segoe UI" w:hAnsi="Segoe UI" w:cs="Segoe UI"/>
          <w:color w:val="605E5C"/>
          <w:sz w:val="20"/>
          <w:szCs w:val="20"/>
        </w:rPr>
        <w:br/>
        <w:t>5:52</w:t>
      </w:r>
      <w:r>
        <w:rPr>
          <w:rFonts w:ascii="Segoe UI" w:eastAsia="Segoe UI" w:hAnsi="Segoe UI" w:cs="Segoe UI"/>
          <w:color w:val="323130"/>
          <w:sz w:val="20"/>
          <w:szCs w:val="20"/>
        </w:rPr>
        <w:br/>
        <w:t>If a question is relevant but offered in an abusive or argumentative manner, the decision maker has a discretion to ask the advisor to rephrase the question in an appropriate manner consistent with the institution's decorum policy for hearings.</w:t>
      </w:r>
    </w:p>
    <w:p w14:paraId="37266AC6" w14:textId="77777777" w:rsidR="000363CB" w:rsidRDefault="000363CB" w:rsidP="000363CB">
      <w:pPr>
        <w:spacing w:after="110"/>
      </w:pPr>
      <w:r>
        <w:rPr>
          <w:rFonts w:ascii="Segoe UI" w:eastAsia="Segoe UI" w:hAnsi="Segoe UI" w:cs="Segoe UI"/>
          <w:color w:val="605E5C"/>
          <w:sz w:val="20"/>
          <w:szCs w:val="20"/>
        </w:rPr>
        <w:br/>
        <w:t>6:07</w:t>
      </w:r>
      <w:r>
        <w:rPr>
          <w:rFonts w:ascii="Segoe UI" w:eastAsia="Segoe UI" w:hAnsi="Segoe UI" w:cs="Segoe UI"/>
          <w:color w:val="323130"/>
          <w:sz w:val="20"/>
          <w:szCs w:val="20"/>
        </w:rPr>
        <w:br/>
        <w:t>But what if the question is prejudicial?</w:t>
      </w:r>
    </w:p>
    <w:p w14:paraId="57DAFC61" w14:textId="77777777" w:rsidR="000363CB" w:rsidRDefault="000363CB" w:rsidP="000363CB">
      <w:pPr>
        <w:spacing w:after="110"/>
      </w:pPr>
      <w:r>
        <w:rPr>
          <w:rFonts w:ascii="Segoe UI" w:eastAsia="Segoe UI" w:hAnsi="Segoe UI" w:cs="Segoe UI"/>
          <w:color w:val="605E5C"/>
          <w:sz w:val="20"/>
          <w:szCs w:val="20"/>
        </w:rPr>
        <w:br/>
        <w:t>6:09</w:t>
      </w:r>
      <w:r>
        <w:rPr>
          <w:rFonts w:ascii="Segoe UI" w:eastAsia="Segoe UI" w:hAnsi="Segoe UI" w:cs="Segoe UI"/>
          <w:color w:val="323130"/>
          <w:sz w:val="20"/>
          <w:szCs w:val="20"/>
        </w:rPr>
        <w:br/>
        <w:t>Or what if it concerns sensitive or embarrassing issues?</w:t>
      </w:r>
    </w:p>
    <w:p w14:paraId="0710F5E6" w14:textId="77777777" w:rsidR="000363CB" w:rsidRDefault="000363CB" w:rsidP="000363CB">
      <w:pPr>
        <w:spacing w:after="110"/>
      </w:pPr>
      <w:r>
        <w:rPr>
          <w:rFonts w:ascii="Segoe UI" w:eastAsia="Segoe UI" w:hAnsi="Segoe UI" w:cs="Segoe UI"/>
          <w:color w:val="605E5C"/>
          <w:sz w:val="20"/>
          <w:szCs w:val="20"/>
        </w:rPr>
        <w:br/>
        <w:t>6:13</w:t>
      </w:r>
      <w:r>
        <w:rPr>
          <w:rFonts w:ascii="Segoe UI" w:eastAsia="Segoe UI" w:hAnsi="Segoe UI" w:cs="Segoe UI"/>
          <w:color w:val="323130"/>
          <w:sz w:val="20"/>
          <w:szCs w:val="20"/>
        </w:rPr>
        <w:br/>
        <w:t>Much of the content within these hearings may be considered sensitive and or embarrassing by parties or advisors.</w:t>
      </w:r>
    </w:p>
    <w:p w14:paraId="30B6382C" w14:textId="77777777" w:rsidR="000363CB" w:rsidRDefault="000363CB" w:rsidP="000363CB">
      <w:pPr>
        <w:spacing w:after="110"/>
      </w:pPr>
      <w:r>
        <w:rPr>
          <w:rFonts w:ascii="Segoe UI" w:eastAsia="Segoe UI" w:hAnsi="Segoe UI" w:cs="Segoe UI"/>
          <w:color w:val="605E5C"/>
          <w:sz w:val="20"/>
          <w:szCs w:val="20"/>
        </w:rPr>
        <w:br/>
        <w:t>6:19</w:t>
      </w:r>
      <w:r>
        <w:rPr>
          <w:rFonts w:ascii="Segoe UI" w:eastAsia="Segoe UI" w:hAnsi="Segoe UI" w:cs="Segoe UI"/>
          <w:color w:val="323130"/>
          <w:sz w:val="20"/>
          <w:szCs w:val="20"/>
        </w:rPr>
        <w:br/>
      </w:r>
      <w:r>
        <w:rPr>
          <w:rFonts w:ascii="Segoe UI" w:eastAsia="Segoe UI" w:hAnsi="Segoe UI" w:cs="Segoe UI"/>
          <w:color w:val="323130"/>
          <w:sz w:val="20"/>
          <w:szCs w:val="20"/>
        </w:rPr>
        <w:lastRenderedPageBreak/>
        <w:t>However, relevant questions need to be considered even if a party or advisor believes the danger of unfair prejudice substantially outweighs their probative value.</w:t>
      </w:r>
    </w:p>
    <w:p w14:paraId="5995ABA0" w14:textId="77777777" w:rsidR="000363CB" w:rsidRDefault="000363CB" w:rsidP="000363CB">
      <w:pPr>
        <w:spacing w:after="110"/>
      </w:pPr>
      <w:r>
        <w:rPr>
          <w:rFonts w:ascii="Segoe UI" w:eastAsia="Segoe UI" w:hAnsi="Segoe UI" w:cs="Segoe UI"/>
          <w:color w:val="605E5C"/>
          <w:sz w:val="20"/>
          <w:szCs w:val="20"/>
        </w:rPr>
        <w:br/>
        <w:t>6:29</w:t>
      </w:r>
      <w:r>
        <w:rPr>
          <w:rFonts w:ascii="Segoe UI" w:eastAsia="Segoe UI" w:hAnsi="Segoe UI" w:cs="Segoe UI"/>
          <w:color w:val="323130"/>
          <w:sz w:val="20"/>
          <w:szCs w:val="20"/>
        </w:rPr>
        <w:br/>
        <w:t xml:space="preserve">Only irrelevant questions, including about the </w:t>
      </w:r>
      <w:proofErr w:type="gramStart"/>
      <w:r>
        <w:rPr>
          <w:rFonts w:ascii="Segoe UI" w:eastAsia="Segoe UI" w:hAnsi="Segoe UI" w:cs="Segoe UI"/>
          <w:color w:val="323130"/>
          <w:sz w:val="20"/>
          <w:szCs w:val="20"/>
        </w:rPr>
        <w:t>complainants</w:t>
      </w:r>
      <w:proofErr w:type="gramEnd"/>
      <w:r>
        <w:rPr>
          <w:rFonts w:ascii="Segoe UI" w:eastAsia="Segoe UI" w:hAnsi="Segoe UI" w:cs="Segoe UI"/>
          <w:color w:val="323130"/>
          <w:sz w:val="20"/>
          <w:szCs w:val="20"/>
        </w:rPr>
        <w:t xml:space="preserve"> prior sexual history, may be excluded.</w:t>
      </w:r>
    </w:p>
    <w:p w14:paraId="5DE60971" w14:textId="77777777" w:rsidR="000363CB" w:rsidRDefault="000363CB" w:rsidP="000363CB">
      <w:pPr>
        <w:spacing w:after="110"/>
      </w:pPr>
      <w:r>
        <w:rPr>
          <w:rFonts w:ascii="Segoe UI" w:eastAsia="Segoe UI" w:hAnsi="Segoe UI" w:cs="Segoe UI"/>
          <w:color w:val="605E5C"/>
          <w:sz w:val="20"/>
          <w:szCs w:val="20"/>
        </w:rPr>
        <w:br/>
        <w:t>6:36</w:t>
      </w:r>
      <w:r>
        <w:rPr>
          <w:rFonts w:ascii="Segoe UI" w:eastAsia="Segoe UI" w:hAnsi="Segoe UI" w:cs="Segoe UI"/>
          <w:color w:val="323130"/>
          <w:sz w:val="20"/>
          <w:szCs w:val="20"/>
        </w:rPr>
        <w:br/>
        <w:t xml:space="preserve">In general, when </w:t>
      </w:r>
      <w:proofErr w:type="gramStart"/>
      <w:r>
        <w:rPr>
          <w:rFonts w:ascii="Segoe UI" w:eastAsia="Segoe UI" w:hAnsi="Segoe UI" w:cs="Segoe UI"/>
          <w:color w:val="323130"/>
          <w:sz w:val="20"/>
          <w:szCs w:val="20"/>
        </w:rPr>
        <w:t>assessing for</w:t>
      </w:r>
      <w:proofErr w:type="gramEnd"/>
      <w:r>
        <w:rPr>
          <w:rFonts w:ascii="Segoe UI" w:eastAsia="Segoe UI" w:hAnsi="Segoe UI" w:cs="Segoe UI"/>
          <w:color w:val="323130"/>
          <w:sz w:val="20"/>
          <w:szCs w:val="20"/>
        </w:rPr>
        <w:t xml:space="preserve"> relevant evidence, ask yourself, does the question or response make a fact at issue more or less likely to be true?</w:t>
      </w:r>
    </w:p>
    <w:p w14:paraId="5D05189A" w14:textId="77777777" w:rsidR="000363CB" w:rsidRDefault="000363CB" w:rsidP="000363CB">
      <w:pPr>
        <w:spacing w:after="110"/>
      </w:pPr>
      <w:r>
        <w:rPr>
          <w:rFonts w:ascii="Segoe UI" w:eastAsia="Segoe UI" w:hAnsi="Segoe UI" w:cs="Segoe UI"/>
          <w:color w:val="605E5C"/>
          <w:sz w:val="20"/>
          <w:szCs w:val="20"/>
        </w:rPr>
        <w:br/>
        <w:t>6:57</w:t>
      </w:r>
      <w:r>
        <w:rPr>
          <w:rFonts w:ascii="Segoe UI" w:eastAsia="Segoe UI" w:hAnsi="Segoe UI" w:cs="Segoe UI"/>
          <w:color w:val="323130"/>
          <w:sz w:val="20"/>
          <w:szCs w:val="20"/>
        </w:rPr>
        <w:br/>
        <w:t>Institutions may develop rules of decorum to help maintain a respectful environment during live hearings.</w:t>
      </w:r>
    </w:p>
    <w:p w14:paraId="278DC302" w14:textId="77777777" w:rsidR="000363CB" w:rsidRDefault="000363CB" w:rsidP="000363CB">
      <w:pPr>
        <w:spacing w:after="110"/>
      </w:pPr>
      <w:r>
        <w:rPr>
          <w:rFonts w:ascii="Segoe UI" w:eastAsia="Segoe UI" w:hAnsi="Segoe UI" w:cs="Segoe UI"/>
          <w:color w:val="605E5C"/>
          <w:sz w:val="20"/>
          <w:szCs w:val="20"/>
        </w:rPr>
        <w:br/>
        <w:t>7:03</w:t>
      </w:r>
      <w:r>
        <w:rPr>
          <w:rFonts w:ascii="Segoe UI" w:eastAsia="Segoe UI" w:hAnsi="Segoe UI" w:cs="Segoe UI"/>
          <w:color w:val="323130"/>
          <w:sz w:val="20"/>
          <w:szCs w:val="20"/>
        </w:rPr>
        <w:br/>
        <w:t>There are no set rules of decorum outlined in the Title 9 Regulations to Set a Standard for Institutions.</w:t>
      </w:r>
    </w:p>
    <w:p w14:paraId="047EEF42" w14:textId="77777777" w:rsidR="000363CB" w:rsidRDefault="000363CB" w:rsidP="000363CB">
      <w:pPr>
        <w:spacing w:after="110"/>
      </w:pPr>
      <w:r>
        <w:rPr>
          <w:rFonts w:ascii="Segoe UI" w:eastAsia="Segoe UI" w:hAnsi="Segoe UI" w:cs="Segoe UI"/>
          <w:color w:val="605E5C"/>
          <w:sz w:val="20"/>
          <w:szCs w:val="20"/>
        </w:rPr>
        <w:br/>
        <w:t>7:09</w:t>
      </w:r>
      <w:r>
        <w:rPr>
          <w:rFonts w:ascii="Segoe UI" w:eastAsia="Segoe UI" w:hAnsi="Segoe UI" w:cs="Segoe UI"/>
          <w:color w:val="323130"/>
          <w:sz w:val="20"/>
          <w:szCs w:val="20"/>
        </w:rPr>
        <w:br/>
        <w:t>In fact, the Department of Education recognizes that colleges and universities are in a better position than the Department to craft rules of decorum best suited to their educational environment and build a hearing process that will reassure the parties that the institution is not throwing a party to the proverbial wolves.</w:t>
      </w:r>
    </w:p>
    <w:p w14:paraId="14AD6E0D" w14:textId="77777777" w:rsidR="000363CB" w:rsidRDefault="000363CB" w:rsidP="000363CB">
      <w:pPr>
        <w:spacing w:after="110"/>
      </w:pPr>
      <w:r>
        <w:rPr>
          <w:rFonts w:ascii="Segoe UI" w:eastAsia="Segoe UI" w:hAnsi="Segoe UI" w:cs="Segoe UI"/>
          <w:color w:val="605E5C"/>
          <w:sz w:val="20"/>
          <w:szCs w:val="20"/>
        </w:rPr>
        <w:br/>
        <w:t>7:28</w:t>
      </w:r>
      <w:r>
        <w:rPr>
          <w:rFonts w:ascii="Segoe UI" w:eastAsia="Segoe UI" w:hAnsi="Segoe UI" w:cs="Segoe UI"/>
          <w:color w:val="323130"/>
          <w:sz w:val="20"/>
          <w:szCs w:val="20"/>
        </w:rPr>
        <w:br/>
        <w:t xml:space="preserve">Examples of rules of decorum may include requiring questions be asked in a respectful tone, not allowing questions to be asked if they are irrelevant or denigrate the witness being </w:t>
      </w:r>
      <w:proofErr w:type="gramStart"/>
      <w:r>
        <w:rPr>
          <w:rFonts w:ascii="Segoe UI" w:eastAsia="Segoe UI" w:hAnsi="Segoe UI" w:cs="Segoe UI"/>
          <w:color w:val="323130"/>
          <w:sz w:val="20"/>
          <w:szCs w:val="20"/>
        </w:rPr>
        <w:t>questioned, and</w:t>
      </w:r>
      <w:proofErr w:type="gramEnd"/>
      <w:r>
        <w:rPr>
          <w:rFonts w:ascii="Segoe UI" w:eastAsia="Segoe UI" w:hAnsi="Segoe UI" w:cs="Segoe UI"/>
          <w:color w:val="323130"/>
          <w:sz w:val="20"/>
          <w:szCs w:val="20"/>
        </w:rPr>
        <w:t xml:space="preserve"> requiring that advisors or any other participant that violates the rules of decorum be removed from the hearing.</w:t>
      </w:r>
    </w:p>
    <w:p w14:paraId="5C63AF9A" w14:textId="77777777" w:rsidR="000363CB" w:rsidRDefault="000363CB" w:rsidP="000363CB">
      <w:pPr>
        <w:spacing w:after="110"/>
      </w:pPr>
      <w:r>
        <w:rPr>
          <w:rFonts w:ascii="Segoe UI" w:eastAsia="Segoe UI" w:hAnsi="Segoe UI" w:cs="Segoe UI"/>
          <w:color w:val="605E5C"/>
          <w:sz w:val="20"/>
          <w:szCs w:val="20"/>
        </w:rPr>
        <w:br/>
        <w:t>7:50</w:t>
      </w:r>
      <w:r>
        <w:rPr>
          <w:rFonts w:ascii="Segoe UI" w:eastAsia="Segoe UI" w:hAnsi="Segoe UI" w:cs="Segoe UI"/>
          <w:color w:val="323130"/>
          <w:sz w:val="20"/>
          <w:szCs w:val="20"/>
        </w:rPr>
        <w:br/>
        <w:t>Along with questioning and testimony, other relevant evidence may be admitted for objective consideration by the decision makers.</w:t>
      </w:r>
    </w:p>
    <w:p w14:paraId="7754A0B3" w14:textId="77777777" w:rsidR="000363CB" w:rsidRDefault="000363CB" w:rsidP="000363CB">
      <w:pPr>
        <w:spacing w:after="110"/>
      </w:pPr>
      <w:r>
        <w:rPr>
          <w:rFonts w:ascii="Segoe UI" w:eastAsia="Segoe UI" w:hAnsi="Segoe UI" w:cs="Segoe UI"/>
          <w:color w:val="605E5C"/>
          <w:sz w:val="20"/>
          <w:szCs w:val="20"/>
        </w:rPr>
        <w:br/>
        <w:t>7:58</w:t>
      </w:r>
      <w:r>
        <w:rPr>
          <w:rFonts w:ascii="Segoe UI" w:eastAsia="Segoe UI" w:hAnsi="Segoe UI" w:cs="Segoe UI"/>
          <w:color w:val="323130"/>
          <w:sz w:val="20"/>
          <w:szCs w:val="20"/>
        </w:rPr>
        <w:br/>
        <w:t>Part of making the subjective assessment of the evidence is to determine whether the relevant evidence supports a finding under the appropriate standard of proof.</w:t>
      </w:r>
    </w:p>
    <w:p w14:paraId="04A5F99A" w14:textId="77777777" w:rsidR="000363CB" w:rsidRDefault="000363CB" w:rsidP="000363CB">
      <w:pPr>
        <w:spacing w:after="110"/>
      </w:pPr>
      <w:r>
        <w:rPr>
          <w:rFonts w:ascii="Segoe UI" w:eastAsia="Segoe UI" w:hAnsi="Segoe UI" w:cs="Segoe UI"/>
          <w:color w:val="605E5C"/>
          <w:sz w:val="20"/>
          <w:szCs w:val="20"/>
        </w:rPr>
        <w:br/>
        <w:t>8:06</w:t>
      </w:r>
      <w:r>
        <w:rPr>
          <w:rFonts w:ascii="Segoe UI" w:eastAsia="Segoe UI" w:hAnsi="Segoe UI" w:cs="Segoe UI"/>
          <w:color w:val="323130"/>
          <w:sz w:val="20"/>
          <w:szCs w:val="20"/>
        </w:rPr>
        <w:br/>
        <w:t>Most institutions will use the preponderance of the evidence standard of proof to determine whether sex discrimination occurred.</w:t>
      </w:r>
    </w:p>
    <w:p w14:paraId="6E65451C" w14:textId="77777777" w:rsidR="000363CB" w:rsidRDefault="000363CB" w:rsidP="000363CB">
      <w:pPr>
        <w:spacing w:after="110"/>
      </w:pPr>
      <w:r>
        <w:rPr>
          <w:rFonts w:ascii="Segoe UI" w:eastAsia="Segoe UI" w:hAnsi="Segoe UI" w:cs="Segoe UI"/>
          <w:color w:val="605E5C"/>
          <w:sz w:val="20"/>
          <w:szCs w:val="20"/>
        </w:rPr>
        <w:br/>
        <w:t>8:13</w:t>
      </w:r>
      <w:r>
        <w:rPr>
          <w:rFonts w:ascii="Segoe UI" w:eastAsia="Segoe UI" w:hAnsi="Segoe UI" w:cs="Segoe UI"/>
          <w:color w:val="323130"/>
          <w:sz w:val="20"/>
          <w:szCs w:val="20"/>
        </w:rPr>
        <w:br/>
        <w:t>The preponderance of the evidence standard means that the evidence leads the decision maker to believe that it is more likely than not, or at least 51% certain, that the alleged sexual harassment occurred.</w:t>
      </w:r>
    </w:p>
    <w:p w14:paraId="3E193DE8" w14:textId="77777777" w:rsidR="000363CB" w:rsidRDefault="000363CB" w:rsidP="000363CB">
      <w:pPr>
        <w:spacing w:after="110"/>
      </w:pPr>
      <w:r>
        <w:rPr>
          <w:rFonts w:ascii="Segoe UI" w:eastAsia="Segoe UI" w:hAnsi="Segoe UI" w:cs="Segoe UI"/>
          <w:color w:val="605E5C"/>
          <w:sz w:val="20"/>
          <w:szCs w:val="20"/>
        </w:rPr>
        <w:br/>
        <w:t>8:26</w:t>
      </w:r>
      <w:r>
        <w:rPr>
          <w:rFonts w:ascii="Segoe UI" w:eastAsia="Segoe UI" w:hAnsi="Segoe UI" w:cs="Segoe UI"/>
          <w:color w:val="323130"/>
          <w:sz w:val="20"/>
          <w:szCs w:val="20"/>
        </w:rPr>
        <w:br/>
      </w:r>
      <w:r>
        <w:rPr>
          <w:rFonts w:ascii="Segoe UI" w:eastAsia="Segoe UI" w:hAnsi="Segoe UI" w:cs="Segoe UI"/>
          <w:color w:val="323130"/>
          <w:sz w:val="20"/>
          <w:szCs w:val="20"/>
        </w:rPr>
        <w:lastRenderedPageBreak/>
        <w:t>This standard is easier to meet than the better known beyond a reasonable doubt that is required in criminal proceedings.</w:t>
      </w:r>
    </w:p>
    <w:p w14:paraId="6968B523" w14:textId="77777777" w:rsidR="000363CB" w:rsidRDefault="000363CB" w:rsidP="000363CB">
      <w:pPr>
        <w:spacing w:after="110"/>
      </w:pPr>
      <w:r>
        <w:rPr>
          <w:rFonts w:ascii="Segoe UI" w:eastAsia="Segoe UI" w:hAnsi="Segoe UI" w:cs="Segoe UI"/>
          <w:color w:val="605E5C"/>
          <w:sz w:val="20"/>
          <w:szCs w:val="20"/>
        </w:rPr>
        <w:br/>
        <w:t>8:33</w:t>
      </w:r>
      <w:r>
        <w:rPr>
          <w:rFonts w:ascii="Segoe UI" w:eastAsia="Segoe UI" w:hAnsi="Segoe UI" w:cs="Segoe UI"/>
          <w:color w:val="323130"/>
          <w:sz w:val="20"/>
          <w:szCs w:val="20"/>
        </w:rPr>
        <w:br/>
        <w:t xml:space="preserve">As a reminder, the decision makers job is not to determine a </w:t>
      </w:r>
      <w:proofErr w:type="gramStart"/>
      <w:r>
        <w:rPr>
          <w:rFonts w:ascii="Segoe UI" w:eastAsia="Segoe UI" w:hAnsi="Segoe UI" w:cs="Segoe UI"/>
          <w:color w:val="323130"/>
          <w:sz w:val="20"/>
          <w:szCs w:val="20"/>
        </w:rPr>
        <w:t>respondents</w:t>
      </w:r>
      <w:proofErr w:type="gramEnd"/>
      <w:r>
        <w:rPr>
          <w:rFonts w:ascii="Segoe UI" w:eastAsia="Segoe UI" w:hAnsi="Segoe UI" w:cs="Segoe UI"/>
          <w:color w:val="323130"/>
          <w:sz w:val="20"/>
          <w:szCs w:val="20"/>
        </w:rPr>
        <w:t xml:space="preserve"> innocent or </w:t>
      </w:r>
      <w:proofErr w:type="spellStart"/>
      <w:proofErr w:type="gramStart"/>
      <w:r>
        <w:rPr>
          <w:rFonts w:ascii="Segoe UI" w:eastAsia="Segoe UI" w:hAnsi="Segoe UI" w:cs="Segoe UI"/>
          <w:color w:val="323130"/>
          <w:sz w:val="20"/>
          <w:szCs w:val="20"/>
        </w:rPr>
        <w:t>guilt</w:t>
      </w:r>
      <w:proofErr w:type="spellEnd"/>
      <w:proofErr w:type="gramEnd"/>
      <w:r>
        <w:rPr>
          <w:rFonts w:ascii="Segoe UI" w:eastAsia="Segoe UI" w:hAnsi="Segoe UI" w:cs="Segoe UI"/>
          <w:color w:val="323130"/>
          <w:sz w:val="20"/>
          <w:szCs w:val="20"/>
        </w:rPr>
        <w:t>, but it's to determine whether it is more likely than not that the respondent is responsible for the alleged conduct in the complaint.</w:t>
      </w:r>
    </w:p>
    <w:p w14:paraId="70F9E0F8" w14:textId="77777777" w:rsidR="000363CB" w:rsidRDefault="000363CB" w:rsidP="000363CB">
      <w:pPr>
        <w:spacing w:after="110"/>
      </w:pPr>
      <w:r>
        <w:rPr>
          <w:rFonts w:ascii="Segoe UI" w:eastAsia="Segoe UI" w:hAnsi="Segoe UI" w:cs="Segoe UI"/>
          <w:color w:val="605E5C"/>
          <w:sz w:val="20"/>
          <w:szCs w:val="20"/>
        </w:rPr>
        <w:br/>
        <w:t>8:46</w:t>
      </w:r>
      <w:r>
        <w:rPr>
          <w:rFonts w:ascii="Segoe UI" w:eastAsia="Segoe UI" w:hAnsi="Segoe UI" w:cs="Segoe UI"/>
          <w:color w:val="323130"/>
          <w:sz w:val="20"/>
          <w:szCs w:val="20"/>
        </w:rPr>
        <w:br/>
        <w:t xml:space="preserve">While the Department of Education requires the use of the preponderance of the evidence standard of proof, there is an exception for institutions that use the clear and convincing standard of proof in </w:t>
      </w:r>
      <w:proofErr w:type="gramStart"/>
      <w:r>
        <w:rPr>
          <w:rFonts w:ascii="Segoe UI" w:eastAsia="Segoe UI" w:hAnsi="Segoe UI" w:cs="Segoe UI"/>
          <w:color w:val="323130"/>
          <w:sz w:val="20"/>
          <w:szCs w:val="20"/>
        </w:rPr>
        <w:t>all of</w:t>
      </w:r>
      <w:proofErr w:type="gramEnd"/>
      <w:r>
        <w:rPr>
          <w:rFonts w:ascii="Segoe UI" w:eastAsia="Segoe UI" w:hAnsi="Segoe UI" w:cs="Segoe UI"/>
          <w:color w:val="323130"/>
          <w:sz w:val="20"/>
          <w:szCs w:val="20"/>
        </w:rPr>
        <w:t xml:space="preserve"> their other comparable proceedings, including proceedings related to other discrimination complaints.</w:t>
      </w:r>
    </w:p>
    <w:p w14:paraId="3D388174" w14:textId="77777777" w:rsidR="000363CB" w:rsidRDefault="000363CB" w:rsidP="000363CB">
      <w:pPr>
        <w:spacing w:after="110"/>
      </w:pPr>
      <w:r>
        <w:rPr>
          <w:rFonts w:ascii="Segoe UI" w:eastAsia="Segoe UI" w:hAnsi="Segoe UI" w:cs="Segoe UI"/>
          <w:color w:val="605E5C"/>
          <w:sz w:val="20"/>
          <w:szCs w:val="20"/>
        </w:rPr>
        <w:br/>
        <w:t>9:03</w:t>
      </w:r>
      <w:r>
        <w:rPr>
          <w:rFonts w:ascii="Segoe UI" w:eastAsia="Segoe UI" w:hAnsi="Segoe UI" w:cs="Segoe UI"/>
          <w:color w:val="323130"/>
          <w:sz w:val="20"/>
          <w:szCs w:val="20"/>
        </w:rPr>
        <w:br/>
        <w:t>This standard of proof is higher, therefore more difficult to meet than the preponderance of the evidence standard, but not as high as beyond a reasonable doubt.</w:t>
      </w:r>
    </w:p>
    <w:p w14:paraId="3BCB269E" w14:textId="77777777" w:rsidR="000363CB" w:rsidRDefault="000363CB" w:rsidP="000363CB">
      <w:pPr>
        <w:spacing w:after="110"/>
      </w:pPr>
      <w:r>
        <w:rPr>
          <w:rFonts w:ascii="Segoe UI" w:eastAsia="Segoe UI" w:hAnsi="Segoe UI" w:cs="Segoe UI"/>
          <w:color w:val="605E5C"/>
          <w:sz w:val="20"/>
          <w:szCs w:val="20"/>
        </w:rPr>
        <w:br/>
        <w:t>9:12</w:t>
      </w:r>
      <w:r>
        <w:rPr>
          <w:rFonts w:ascii="Segoe UI" w:eastAsia="Segoe UI" w:hAnsi="Segoe UI" w:cs="Segoe UI"/>
          <w:color w:val="323130"/>
          <w:sz w:val="20"/>
          <w:szCs w:val="20"/>
        </w:rPr>
        <w:br/>
        <w:t>To find a respondent responsible using the clear and convincing evidence standard, the decision maker must have a firm belief or conviction that it is highly probable that the alleged conduct in the complaint occurred.</w:t>
      </w:r>
    </w:p>
    <w:p w14:paraId="7B954F51" w14:textId="77777777" w:rsidR="000363CB" w:rsidRDefault="000363CB" w:rsidP="000363CB">
      <w:pPr>
        <w:spacing w:after="110"/>
      </w:pPr>
      <w:r>
        <w:rPr>
          <w:rFonts w:ascii="Segoe UI" w:eastAsia="Segoe UI" w:hAnsi="Segoe UI" w:cs="Segoe UI"/>
          <w:color w:val="605E5C"/>
          <w:sz w:val="20"/>
          <w:szCs w:val="20"/>
        </w:rPr>
        <w:br/>
        <w:t>9:27</w:t>
      </w:r>
      <w:r>
        <w:rPr>
          <w:rFonts w:ascii="Segoe UI" w:eastAsia="Segoe UI" w:hAnsi="Segoe UI" w:cs="Segoe UI"/>
          <w:color w:val="323130"/>
          <w:sz w:val="20"/>
          <w:szCs w:val="20"/>
        </w:rPr>
        <w:br/>
        <w:t>There are a few specific exclusions of evidence.</w:t>
      </w:r>
    </w:p>
    <w:p w14:paraId="2A10C10D" w14:textId="77777777" w:rsidR="000363CB" w:rsidRDefault="000363CB" w:rsidP="000363CB">
      <w:pPr>
        <w:spacing w:after="110"/>
      </w:pPr>
      <w:r>
        <w:rPr>
          <w:rFonts w:ascii="Segoe UI" w:eastAsia="Segoe UI" w:hAnsi="Segoe UI" w:cs="Segoe UI"/>
          <w:color w:val="605E5C"/>
          <w:sz w:val="20"/>
          <w:szCs w:val="20"/>
        </w:rPr>
        <w:br/>
        <w:t>9:30</w:t>
      </w:r>
      <w:r>
        <w:rPr>
          <w:rFonts w:ascii="Segoe UI" w:eastAsia="Segoe UI" w:hAnsi="Segoe UI" w:cs="Segoe UI"/>
          <w:color w:val="323130"/>
          <w:sz w:val="20"/>
          <w:szCs w:val="20"/>
        </w:rPr>
        <w:br/>
        <w:t>One exclusion is evidence that falls under the rape shield.</w:t>
      </w:r>
    </w:p>
    <w:p w14:paraId="5FCAD57B" w14:textId="77777777" w:rsidR="000363CB" w:rsidRDefault="000363CB" w:rsidP="000363CB">
      <w:pPr>
        <w:spacing w:after="110"/>
      </w:pPr>
      <w:r>
        <w:rPr>
          <w:rFonts w:ascii="Segoe UI" w:eastAsia="Segoe UI" w:hAnsi="Segoe UI" w:cs="Segoe UI"/>
          <w:color w:val="605E5C"/>
          <w:sz w:val="20"/>
          <w:szCs w:val="20"/>
        </w:rPr>
        <w:br/>
        <w:t>9:34</w:t>
      </w:r>
      <w:r>
        <w:rPr>
          <w:rFonts w:ascii="Segoe UI" w:eastAsia="Segoe UI" w:hAnsi="Segoe UI" w:cs="Segoe UI"/>
          <w:color w:val="323130"/>
          <w:sz w:val="20"/>
          <w:szCs w:val="20"/>
        </w:rPr>
        <w:br/>
        <w:t>The rape shield protects individuals who participate in the grievance process from being asked inappropriate questions about their prior sexual history.</w:t>
      </w:r>
    </w:p>
    <w:p w14:paraId="036CADA6" w14:textId="77777777" w:rsidR="000363CB" w:rsidRDefault="000363CB" w:rsidP="000363CB">
      <w:pPr>
        <w:spacing w:after="110"/>
      </w:pPr>
      <w:r>
        <w:rPr>
          <w:rFonts w:ascii="Segoe UI" w:eastAsia="Segoe UI" w:hAnsi="Segoe UI" w:cs="Segoe UI"/>
          <w:color w:val="605E5C"/>
          <w:sz w:val="20"/>
          <w:szCs w:val="20"/>
        </w:rPr>
        <w:br/>
        <w:t>9:42</w:t>
      </w:r>
      <w:r>
        <w:rPr>
          <w:rFonts w:ascii="Segoe UI" w:eastAsia="Segoe UI" w:hAnsi="Segoe UI" w:cs="Segoe UI"/>
          <w:color w:val="323130"/>
          <w:sz w:val="20"/>
          <w:szCs w:val="20"/>
        </w:rPr>
        <w:br/>
        <w:t>There are two exceptions to this prohibition.</w:t>
      </w:r>
    </w:p>
    <w:p w14:paraId="7B4E643C" w14:textId="77777777" w:rsidR="000363CB" w:rsidRDefault="000363CB" w:rsidP="000363CB">
      <w:pPr>
        <w:spacing w:after="110"/>
      </w:pPr>
      <w:r>
        <w:rPr>
          <w:rFonts w:ascii="Segoe UI" w:eastAsia="Segoe UI" w:hAnsi="Segoe UI" w:cs="Segoe UI"/>
          <w:color w:val="605E5C"/>
          <w:sz w:val="20"/>
          <w:szCs w:val="20"/>
        </w:rPr>
        <w:br/>
        <w:t>9:45</w:t>
      </w:r>
      <w:r>
        <w:rPr>
          <w:rFonts w:ascii="Segoe UI" w:eastAsia="Segoe UI" w:hAnsi="Segoe UI" w:cs="Segoe UI"/>
          <w:color w:val="323130"/>
          <w:sz w:val="20"/>
          <w:szCs w:val="20"/>
        </w:rPr>
        <w:br/>
        <w:t>The first is when the information is sought to prove that someone else committed the conduct being alleged in the incident, and the second is if it's being sought to prove consent between the parties.</w:t>
      </w:r>
    </w:p>
    <w:p w14:paraId="09685513" w14:textId="77777777" w:rsidR="000363CB" w:rsidRDefault="000363CB" w:rsidP="000363CB">
      <w:pPr>
        <w:spacing w:after="110"/>
      </w:pPr>
      <w:r>
        <w:rPr>
          <w:rFonts w:ascii="Segoe UI" w:eastAsia="Segoe UI" w:hAnsi="Segoe UI" w:cs="Segoe UI"/>
          <w:color w:val="605E5C"/>
          <w:sz w:val="20"/>
          <w:szCs w:val="20"/>
        </w:rPr>
        <w:br/>
        <w:t>9:57</w:t>
      </w:r>
      <w:r>
        <w:rPr>
          <w:rFonts w:ascii="Segoe UI" w:eastAsia="Segoe UI" w:hAnsi="Segoe UI" w:cs="Segoe UI"/>
          <w:color w:val="323130"/>
          <w:sz w:val="20"/>
          <w:szCs w:val="20"/>
        </w:rPr>
        <w:br/>
        <w:t xml:space="preserve">However, </w:t>
      </w:r>
      <w:proofErr w:type="gramStart"/>
      <w:r>
        <w:rPr>
          <w:rFonts w:ascii="Segoe UI" w:eastAsia="Segoe UI" w:hAnsi="Segoe UI" w:cs="Segoe UI"/>
          <w:color w:val="323130"/>
          <w:sz w:val="20"/>
          <w:szCs w:val="20"/>
        </w:rPr>
        <w:t>Please</w:t>
      </w:r>
      <w:proofErr w:type="gramEnd"/>
      <w:r>
        <w:rPr>
          <w:rFonts w:ascii="Segoe UI" w:eastAsia="Segoe UI" w:hAnsi="Segoe UI" w:cs="Segoe UI"/>
          <w:color w:val="323130"/>
          <w:sz w:val="20"/>
          <w:szCs w:val="20"/>
        </w:rPr>
        <w:t xml:space="preserve"> note that while prior consensual sexual conduct may have taken place between the parties, it does not by itself indicate that consent was received for the alleged harassment in this particular incident.</w:t>
      </w:r>
    </w:p>
    <w:p w14:paraId="02947660" w14:textId="77777777" w:rsidR="000363CB" w:rsidRDefault="000363CB" w:rsidP="000363CB">
      <w:pPr>
        <w:spacing w:after="110"/>
      </w:pPr>
      <w:r>
        <w:rPr>
          <w:rFonts w:ascii="Segoe UI" w:eastAsia="Segoe UI" w:hAnsi="Segoe UI" w:cs="Segoe UI"/>
          <w:color w:val="605E5C"/>
          <w:sz w:val="20"/>
          <w:szCs w:val="20"/>
        </w:rPr>
        <w:lastRenderedPageBreak/>
        <w:br/>
        <w:t>10:10</w:t>
      </w:r>
      <w:r>
        <w:rPr>
          <w:rFonts w:ascii="Segoe UI" w:eastAsia="Segoe UI" w:hAnsi="Segoe UI" w:cs="Segoe UI"/>
          <w:color w:val="323130"/>
          <w:sz w:val="20"/>
          <w:szCs w:val="20"/>
        </w:rPr>
        <w:br/>
        <w:t>Other exclusions from evidence include privileged information, such as information that's shared with an attorney or another person that has a potential state given privilege, like a clergy member.</w:t>
      </w:r>
    </w:p>
    <w:p w14:paraId="148DE465" w14:textId="77777777" w:rsidR="000363CB" w:rsidRDefault="000363CB" w:rsidP="000363CB">
      <w:pPr>
        <w:spacing w:after="110"/>
      </w:pPr>
      <w:r>
        <w:rPr>
          <w:rFonts w:ascii="Segoe UI" w:eastAsia="Segoe UI" w:hAnsi="Segoe UI" w:cs="Segoe UI"/>
          <w:color w:val="605E5C"/>
          <w:sz w:val="20"/>
          <w:szCs w:val="20"/>
        </w:rPr>
        <w:br/>
        <w:t>10:22</w:t>
      </w:r>
      <w:r>
        <w:rPr>
          <w:rFonts w:ascii="Segoe UI" w:eastAsia="Segoe UI" w:hAnsi="Segoe UI" w:cs="Segoe UI"/>
          <w:color w:val="323130"/>
          <w:sz w:val="20"/>
          <w:szCs w:val="20"/>
        </w:rPr>
        <w:br/>
        <w:t>It also includes privileged documents such as medical records, psychological records, and FERPA protected information unless they're waived by the party.</w:t>
      </w:r>
    </w:p>
    <w:p w14:paraId="227FADEB" w14:textId="77777777" w:rsidR="000363CB" w:rsidRDefault="000363CB" w:rsidP="000363CB">
      <w:pPr>
        <w:spacing w:after="110"/>
      </w:pPr>
      <w:r>
        <w:rPr>
          <w:rFonts w:ascii="Segoe UI" w:eastAsia="Segoe UI" w:hAnsi="Segoe UI" w:cs="Segoe UI"/>
          <w:color w:val="605E5C"/>
          <w:sz w:val="20"/>
          <w:szCs w:val="20"/>
        </w:rPr>
        <w:br/>
        <w:t>10:32</w:t>
      </w:r>
      <w:r>
        <w:rPr>
          <w:rFonts w:ascii="Segoe UI" w:eastAsia="Segoe UI" w:hAnsi="Segoe UI" w:cs="Segoe UI"/>
          <w:color w:val="323130"/>
          <w:sz w:val="20"/>
          <w:szCs w:val="20"/>
        </w:rPr>
        <w:br/>
        <w:t>And lastly, there is a prohibition on duplicative questions, meaning that questions have already been asked and answered.</w:t>
      </w:r>
    </w:p>
    <w:p w14:paraId="173FD5D5" w14:textId="77777777" w:rsidR="000363CB" w:rsidRDefault="000363CB" w:rsidP="000363CB">
      <w:pPr>
        <w:spacing w:after="110"/>
      </w:pPr>
      <w:r>
        <w:rPr>
          <w:rFonts w:ascii="Segoe UI" w:eastAsia="Segoe UI" w:hAnsi="Segoe UI" w:cs="Segoe UI"/>
          <w:color w:val="605E5C"/>
          <w:sz w:val="20"/>
          <w:szCs w:val="20"/>
        </w:rPr>
        <w:br/>
        <w:t>10:43</w:t>
      </w:r>
      <w:r>
        <w:rPr>
          <w:rFonts w:ascii="Segoe UI" w:eastAsia="Segoe UI" w:hAnsi="Segoe UI" w:cs="Segoe UI"/>
          <w:color w:val="323130"/>
          <w:sz w:val="20"/>
          <w:szCs w:val="20"/>
        </w:rPr>
        <w:br/>
        <w:t>Lastly, let's talk about making credibility determinations of evidence.</w:t>
      </w:r>
    </w:p>
    <w:p w14:paraId="06FB0E78" w14:textId="77777777" w:rsidR="000363CB" w:rsidRDefault="000363CB" w:rsidP="000363CB">
      <w:pPr>
        <w:spacing w:after="110"/>
      </w:pPr>
      <w:r>
        <w:rPr>
          <w:rFonts w:ascii="Segoe UI" w:eastAsia="Segoe UI" w:hAnsi="Segoe UI" w:cs="Segoe UI"/>
          <w:color w:val="605E5C"/>
          <w:sz w:val="20"/>
          <w:szCs w:val="20"/>
        </w:rPr>
        <w:br/>
        <w:t>10:48</w:t>
      </w:r>
      <w:r>
        <w:rPr>
          <w:rFonts w:ascii="Segoe UI" w:eastAsia="Segoe UI" w:hAnsi="Segoe UI" w:cs="Segoe UI"/>
          <w:color w:val="323130"/>
          <w:sz w:val="20"/>
          <w:szCs w:val="20"/>
        </w:rPr>
        <w:br/>
        <w:t xml:space="preserve">Testimony will likely be one of the most common types of evidence that will </w:t>
      </w:r>
      <w:proofErr w:type="gramStart"/>
      <w:r>
        <w:rPr>
          <w:rFonts w:ascii="Segoe UI" w:eastAsia="Segoe UI" w:hAnsi="Segoe UI" w:cs="Segoe UI"/>
          <w:color w:val="323130"/>
          <w:sz w:val="20"/>
          <w:szCs w:val="20"/>
        </w:rPr>
        <w:t>be need</w:t>
      </w:r>
      <w:proofErr w:type="gramEnd"/>
      <w:r>
        <w:rPr>
          <w:rFonts w:ascii="Segoe UI" w:eastAsia="Segoe UI" w:hAnsi="Segoe UI" w:cs="Segoe UI"/>
          <w:color w:val="323130"/>
          <w:sz w:val="20"/>
          <w:szCs w:val="20"/>
        </w:rPr>
        <w:t xml:space="preserve"> to be considered.</w:t>
      </w:r>
    </w:p>
    <w:p w14:paraId="6866CD02" w14:textId="77777777" w:rsidR="000363CB" w:rsidRDefault="000363CB" w:rsidP="000363CB">
      <w:pPr>
        <w:spacing w:after="110"/>
      </w:pPr>
      <w:r>
        <w:rPr>
          <w:rFonts w:ascii="Segoe UI" w:eastAsia="Segoe UI" w:hAnsi="Segoe UI" w:cs="Segoe UI"/>
          <w:color w:val="605E5C"/>
          <w:sz w:val="20"/>
          <w:szCs w:val="20"/>
        </w:rPr>
        <w:br/>
        <w:t>10:54</w:t>
      </w:r>
      <w:r>
        <w:rPr>
          <w:rFonts w:ascii="Segoe UI" w:eastAsia="Segoe UI" w:hAnsi="Segoe UI" w:cs="Segoe UI"/>
          <w:color w:val="323130"/>
          <w:sz w:val="20"/>
          <w:szCs w:val="20"/>
        </w:rPr>
        <w:br/>
        <w:t>Testimonial evidence may take the form of verbal statements, written statements, or statements, and answers to questions that are gathered during a hearing.</w:t>
      </w:r>
    </w:p>
    <w:p w14:paraId="4AD3C781" w14:textId="77777777" w:rsidR="000363CB" w:rsidRDefault="000363CB" w:rsidP="000363CB">
      <w:pPr>
        <w:spacing w:after="110"/>
      </w:pPr>
      <w:r>
        <w:rPr>
          <w:rFonts w:ascii="Segoe UI" w:eastAsia="Segoe UI" w:hAnsi="Segoe UI" w:cs="Segoe UI"/>
          <w:color w:val="605E5C"/>
          <w:sz w:val="20"/>
          <w:szCs w:val="20"/>
        </w:rPr>
        <w:br/>
        <w:t>11:02</w:t>
      </w:r>
      <w:r>
        <w:rPr>
          <w:rFonts w:ascii="Segoe UI" w:eastAsia="Segoe UI" w:hAnsi="Segoe UI" w:cs="Segoe UI"/>
          <w:color w:val="323130"/>
          <w:sz w:val="20"/>
          <w:szCs w:val="20"/>
        </w:rPr>
        <w:br/>
        <w:t>Since testimony plays such a large role in most investigations and hearings, it is important to keep in mind some key considerations when determining how much weight to give to each piece of testimony.</w:t>
      </w:r>
    </w:p>
    <w:p w14:paraId="39996A6B" w14:textId="77777777" w:rsidR="000363CB" w:rsidRDefault="000363CB" w:rsidP="000363CB">
      <w:pPr>
        <w:spacing w:after="110"/>
      </w:pPr>
      <w:r>
        <w:rPr>
          <w:rFonts w:ascii="Segoe UI" w:eastAsia="Segoe UI" w:hAnsi="Segoe UI" w:cs="Segoe UI"/>
          <w:color w:val="605E5C"/>
          <w:sz w:val="20"/>
          <w:szCs w:val="20"/>
        </w:rPr>
        <w:br/>
        <w:t>11:14</w:t>
      </w:r>
      <w:r>
        <w:rPr>
          <w:rFonts w:ascii="Segoe UI" w:eastAsia="Segoe UI" w:hAnsi="Segoe UI" w:cs="Segoe UI"/>
          <w:color w:val="323130"/>
          <w:sz w:val="20"/>
          <w:szCs w:val="20"/>
        </w:rPr>
        <w:br/>
        <w:t>First, let's discuss which testimonial evidence is more objective.</w:t>
      </w:r>
    </w:p>
    <w:p w14:paraId="4D945A72" w14:textId="77777777" w:rsidR="000363CB" w:rsidRDefault="000363CB" w:rsidP="000363CB">
      <w:pPr>
        <w:spacing w:after="110"/>
      </w:pPr>
      <w:r>
        <w:rPr>
          <w:rFonts w:ascii="Segoe UI" w:eastAsia="Segoe UI" w:hAnsi="Segoe UI" w:cs="Segoe UI"/>
          <w:color w:val="605E5C"/>
          <w:sz w:val="20"/>
          <w:szCs w:val="20"/>
        </w:rPr>
        <w:br/>
        <w:t>11:18</w:t>
      </w:r>
      <w:r>
        <w:rPr>
          <w:rFonts w:ascii="Segoe UI" w:eastAsia="Segoe UI" w:hAnsi="Segoe UI" w:cs="Segoe UI"/>
          <w:color w:val="323130"/>
          <w:sz w:val="20"/>
          <w:szCs w:val="20"/>
        </w:rPr>
        <w:br/>
        <w:t>If there is consistency and specificity of a particular statement or across most statements, that may mean that the statement may be objectively more likely to be true.</w:t>
      </w:r>
    </w:p>
    <w:p w14:paraId="4F5E9D82" w14:textId="77777777" w:rsidR="000363CB" w:rsidRDefault="000363CB" w:rsidP="000363CB">
      <w:pPr>
        <w:spacing w:after="110"/>
      </w:pPr>
      <w:r>
        <w:rPr>
          <w:rFonts w:ascii="Segoe UI" w:eastAsia="Segoe UI" w:hAnsi="Segoe UI" w:cs="Segoe UI"/>
          <w:color w:val="605E5C"/>
          <w:sz w:val="20"/>
          <w:szCs w:val="20"/>
        </w:rPr>
        <w:br/>
        <w:t>11:30</w:t>
      </w:r>
      <w:r>
        <w:rPr>
          <w:rFonts w:ascii="Segoe UI" w:eastAsia="Segoe UI" w:hAnsi="Segoe UI" w:cs="Segoe UI"/>
          <w:color w:val="323130"/>
          <w:sz w:val="20"/>
          <w:szCs w:val="20"/>
        </w:rPr>
        <w:br/>
        <w:t>Corroboration of testimony, meaning other statements or pieces of evidence that help verify something that someone said is true, may also indicate that it is likely to be true.</w:t>
      </w:r>
    </w:p>
    <w:p w14:paraId="7BCD52C0" w14:textId="77777777" w:rsidR="000363CB" w:rsidRDefault="000363CB" w:rsidP="000363CB">
      <w:pPr>
        <w:spacing w:after="110"/>
      </w:pPr>
      <w:r>
        <w:rPr>
          <w:rFonts w:ascii="Segoe UI" w:eastAsia="Segoe UI" w:hAnsi="Segoe UI" w:cs="Segoe UI"/>
          <w:color w:val="605E5C"/>
          <w:sz w:val="20"/>
          <w:szCs w:val="20"/>
        </w:rPr>
        <w:br/>
        <w:t>11:40</w:t>
      </w:r>
      <w:r>
        <w:rPr>
          <w:rFonts w:ascii="Segoe UI" w:eastAsia="Segoe UI" w:hAnsi="Segoe UI" w:cs="Segoe UI"/>
          <w:color w:val="323130"/>
          <w:sz w:val="20"/>
          <w:szCs w:val="20"/>
        </w:rPr>
        <w:br/>
        <w:t>Conversely, contradictory testimony or evidence by others may indicate that something may not be true.</w:t>
      </w:r>
    </w:p>
    <w:p w14:paraId="0EEC7761" w14:textId="77777777" w:rsidR="000363CB" w:rsidRDefault="000363CB" w:rsidP="000363CB">
      <w:pPr>
        <w:spacing w:after="110"/>
      </w:pPr>
      <w:r>
        <w:rPr>
          <w:rFonts w:ascii="Segoe UI" w:eastAsia="Segoe UI" w:hAnsi="Segoe UI" w:cs="Segoe UI"/>
          <w:color w:val="605E5C"/>
          <w:sz w:val="20"/>
          <w:szCs w:val="20"/>
        </w:rPr>
        <w:br/>
        <w:t>11:47</w:t>
      </w:r>
      <w:r>
        <w:rPr>
          <w:rFonts w:ascii="Segoe UI" w:eastAsia="Segoe UI" w:hAnsi="Segoe UI" w:cs="Segoe UI"/>
          <w:color w:val="323130"/>
          <w:sz w:val="20"/>
          <w:szCs w:val="20"/>
        </w:rPr>
        <w:br/>
        <w:t xml:space="preserve">If a party or witness is found to have destroyed evidence, it is more objective that the testimony may be </w:t>
      </w:r>
      <w:r>
        <w:rPr>
          <w:rFonts w:ascii="Segoe UI" w:eastAsia="Segoe UI" w:hAnsi="Segoe UI" w:cs="Segoe UI"/>
          <w:color w:val="323130"/>
          <w:sz w:val="20"/>
          <w:szCs w:val="20"/>
        </w:rPr>
        <w:lastRenderedPageBreak/>
        <w:t>less reliable or that there is a key piece of evidence that may be detrimental to the side that destroyed the evidence.</w:t>
      </w:r>
    </w:p>
    <w:p w14:paraId="20AC7FCF" w14:textId="77777777" w:rsidR="000363CB" w:rsidRDefault="000363CB" w:rsidP="000363CB">
      <w:pPr>
        <w:spacing w:after="110"/>
      </w:pPr>
      <w:r>
        <w:rPr>
          <w:rFonts w:ascii="Segoe UI" w:eastAsia="Segoe UI" w:hAnsi="Segoe UI" w:cs="Segoe UI"/>
          <w:color w:val="605E5C"/>
          <w:sz w:val="20"/>
          <w:szCs w:val="20"/>
        </w:rPr>
        <w:br/>
        <w:t>12:01</w:t>
      </w:r>
      <w:r>
        <w:rPr>
          <w:rFonts w:ascii="Segoe UI" w:eastAsia="Segoe UI" w:hAnsi="Segoe UI" w:cs="Segoe UI"/>
          <w:color w:val="323130"/>
          <w:sz w:val="20"/>
          <w:szCs w:val="20"/>
        </w:rPr>
        <w:br/>
        <w:t xml:space="preserve">Generally, expert </w:t>
      </w:r>
      <w:proofErr w:type="gramStart"/>
      <w:r>
        <w:rPr>
          <w:rFonts w:ascii="Segoe UI" w:eastAsia="Segoe UI" w:hAnsi="Segoe UI" w:cs="Segoe UI"/>
          <w:color w:val="323130"/>
          <w:sz w:val="20"/>
          <w:szCs w:val="20"/>
        </w:rPr>
        <w:t>witnesses</w:t>
      </w:r>
      <w:proofErr w:type="gramEnd"/>
      <w:r>
        <w:rPr>
          <w:rFonts w:ascii="Segoe UI" w:eastAsia="Segoe UI" w:hAnsi="Segoe UI" w:cs="Segoe UI"/>
          <w:color w:val="323130"/>
          <w:sz w:val="20"/>
          <w:szCs w:val="20"/>
        </w:rPr>
        <w:t xml:space="preserve"> testimony is considered more objective considering their character, background, experience, and training in the field that they are expert in.</w:t>
      </w:r>
    </w:p>
    <w:p w14:paraId="14AFEB30" w14:textId="77777777" w:rsidR="000363CB" w:rsidRDefault="000363CB" w:rsidP="000363CB">
      <w:pPr>
        <w:spacing w:after="110"/>
      </w:pPr>
      <w:r>
        <w:rPr>
          <w:rFonts w:ascii="Segoe UI" w:eastAsia="Segoe UI" w:hAnsi="Segoe UI" w:cs="Segoe UI"/>
          <w:color w:val="605E5C"/>
          <w:sz w:val="20"/>
          <w:szCs w:val="20"/>
        </w:rPr>
        <w:br/>
        <w:t>12:12</w:t>
      </w:r>
      <w:r>
        <w:rPr>
          <w:rFonts w:ascii="Segoe UI" w:eastAsia="Segoe UI" w:hAnsi="Segoe UI" w:cs="Segoe UI"/>
          <w:color w:val="323130"/>
          <w:sz w:val="20"/>
          <w:szCs w:val="20"/>
        </w:rPr>
        <w:br/>
        <w:t>Now let's discuss subjective evidence.</w:t>
      </w:r>
    </w:p>
    <w:p w14:paraId="3BDE52C0" w14:textId="77777777" w:rsidR="000363CB" w:rsidRDefault="000363CB" w:rsidP="000363CB">
      <w:pPr>
        <w:spacing w:after="110"/>
      </w:pPr>
      <w:r>
        <w:rPr>
          <w:rFonts w:ascii="Segoe UI" w:eastAsia="Segoe UI" w:hAnsi="Segoe UI" w:cs="Segoe UI"/>
          <w:color w:val="605E5C"/>
          <w:sz w:val="20"/>
          <w:szCs w:val="20"/>
        </w:rPr>
        <w:br/>
        <w:t>12:16</w:t>
      </w:r>
      <w:r>
        <w:rPr>
          <w:rFonts w:ascii="Segoe UI" w:eastAsia="Segoe UI" w:hAnsi="Segoe UI" w:cs="Segoe UI"/>
          <w:color w:val="323130"/>
          <w:sz w:val="20"/>
          <w:szCs w:val="20"/>
        </w:rPr>
        <w:br/>
        <w:t xml:space="preserve">These more subjective pieces of evidence may include observing a party or </w:t>
      </w:r>
      <w:proofErr w:type="gramStart"/>
      <w:r>
        <w:rPr>
          <w:rFonts w:ascii="Segoe UI" w:eastAsia="Segoe UI" w:hAnsi="Segoe UI" w:cs="Segoe UI"/>
          <w:color w:val="323130"/>
          <w:sz w:val="20"/>
          <w:szCs w:val="20"/>
        </w:rPr>
        <w:t>witnesses</w:t>
      </w:r>
      <w:proofErr w:type="gramEnd"/>
      <w:r>
        <w:rPr>
          <w:rFonts w:ascii="Segoe UI" w:eastAsia="Segoe UI" w:hAnsi="Segoe UI" w:cs="Segoe UI"/>
          <w:color w:val="323130"/>
          <w:sz w:val="20"/>
          <w:szCs w:val="20"/>
        </w:rPr>
        <w:t xml:space="preserve"> demeanor and body language as they deliver their testimony and answer questions.</w:t>
      </w:r>
    </w:p>
    <w:p w14:paraId="5B196012" w14:textId="77777777" w:rsidR="000363CB" w:rsidRDefault="000363CB" w:rsidP="000363CB">
      <w:pPr>
        <w:spacing w:after="110"/>
      </w:pPr>
      <w:r>
        <w:rPr>
          <w:rFonts w:ascii="Segoe UI" w:eastAsia="Segoe UI" w:hAnsi="Segoe UI" w:cs="Segoe UI"/>
          <w:color w:val="605E5C"/>
          <w:sz w:val="20"/>
          <w:szCs w:val="20"/>
        </w:rPr>
        <w:br/>
        <w:t>12:25</w:t>
      </w:r>
      <w:r>
        <w:rPr>
          <w:rFonts w:ascii="Segoe UI" w:eastAsia="Segoe UI" w:hAnsi="Segoe UI" w:cs="Segoe UI"/>
          <w:color w:val="323130"/>
          <w:sz w:val="20"/>
          <w:szCs w:val="20"/>
        </w:rPr>
        <w:br/>
        <w:t xml:space="preserve">Whether something has inherent </w:t>
      </w:r>
      <w:proofErr w:type="gramStart"/>
      <w:r>
        <w:rPr>
          <w:rFonts w:ascii="Segoe UI" w:eastAsia="Segoe UI" w:hAnsi="Segoe UI" w:cs="Segoe UI"/>
          <w:color w:val="323130"/>
          <w:sz w:val="20"/>
          <w:szCs w:val="20"/>
        </w:rPr>
        <w:t>plausibility</w:t>
      </w:r>
      <w:proofErr w:type="gramEnd"/>
      <w:r>
        <w:rPr>
          <w:rFonts w:ascii="Segoe UI" w:eastAsia="Segoe UI" w:hAnsi="Segoe UI" w:cs="Segoe UI"/>
          <w:color w:val="323130"/>
          <w:sz w:val="20"/>
          <w:szCs w:val="20"/>
        </w:rPr>
        <w:t xml:space="preserve"> or it just seems to make sense, a party or witnesses evasiveness to answering questions or their ability to recall certain events.</w:t>
      </w:r>
    </w:p>
    <w:p w14:paraId="778787F3" w14:textId="77777777" w:rsidR="000363CB" w:rsidRDefault="000363CB" w:rsidP="000363CB">
      <w:pPr>
        <w:spacing w:after="110"/>
      </w:pPr>
      <w:r>
        <w:rPr>
          <w:rFonts w:ascii="Segoe UI" w:eastAsia="Segoe UI" w:hAnsi="Segoe UI" w:cs="Segoe UI"/>
          <w:color w:val="605E5C"/>
          <w:sz w:val="20"/>
          <w:szCs w:val="20"/>
        </w:rPr>
        <w:br/>
        <w:t>12:37</w:t>
      </w:r>
      <w:r>
        <w:rPr>
          <w:rFonts w:ascii="Segoe UI" w:eastAsia="Segoe UI" w:hAnsi="Segoe UI" w:cs="Segoe UI"/>
          <w:color w:val="323130"/>
          <w:sz w:val="20"/>
          <w:szCs w:val="20"/>
        </w:rPr>
        <w:br/>
        <w:t>There are many reasons these aspects of testimonial evidence may be more subjective, but one very important one is to remember that some parties have experienced or are experiencing a very difficult time.</w:t>
      </w:r>
    </w:p>
    <w:p w14:paraId="25776752" w14:textId="77777777" w:rsidR="000363CB" w:rsidRDefault="000363CB" w:rsidP="000363CB">
      <w:pPr>
        <w:spacing w:after="110"/>
      </w:pPr>
      <w:r>
        <w:rPr>
          <w:rFonts w:ascii="Segoe UI" w:eastAsia="Segoe UI" w:hAnsi="Segoe UI" w:cs="Segoe UI"/>
          <w:color w:val="605E5C"/>
          <w:sz w:val="20"/>
          <w:szCs w:val="20"/>
        </w:rPr>
        <w:br/>
        <w:t>12:49</w:t>
      </w:r>
      <w:r>
        <w:rPr>
          <w:rFonts w:ascii="Segoe UI" w:eastAsia="Segoe UI" w:hAnsi="Segoe UI" w:cs="Segoe UI"/>
          <w:color w:val="323130"/>
          <w:sz w:val="20"/>
          <w:szCs w:val="20"/>
        </w:rPr>
        <w:br/>
        <w:t xml:space="preserve">It is crucial that decision makers not draw inferences or conclusions about whether </w:t>
      </w:r>
      <w:proofErr w:type="gramStart"/>
      <w:r>
        <w:rPr>
          <w:rFonts w:ascii="Segoe UI" w:eastAsia="Segoe UI" w:hAnsi="Segoe UI" w:cs="Segoe UI"/>
          <w:color w:val="323130"/>
          <w:sz w:val="20"/>
          <w:szCs w:val="20"/>
        </w:rPr>
        <w:t>sex based</w:t>
      </w:r>
      <w:proofErr w:type="gramEnd"/>
      <w:r>
        <w:rPr>
          <w:rFonts w:ascii="Segoe UI" w:eastAsia="Segoe UI" w:hAnsi="Segoe UI" w:cs="Segoe UI"/>
          <w:color w:val="323130"/>
          <w:sz w:val="20"/>
          <w:szCs w:val="20"/>
        </w:rPr>
        <w:t xml:space="preserve"> discrimination occurred based solely on a party's or witnesses refusal to respond to questions.</w:t>
      </w:r>
    </w:p>
    <w:p w14:paraId="70C379F2" w14:textId="77777777" w:rsidR="000363CB" w:rsidRDefault="000363CB" w:rsidP="000363CB">
      <w:pPr>
        <w:spacing w:after="110"/>
      </w:pPr>
      <w:r>
        <w:rPr>
          <w:rFonts w:ascii="Segoe UI" w:eastAsia="Segoe UI" w:hAnsi="Segoe UI" w:cs="Segoe UI"/>
          <w:color w:val="605E5C"/>
          <w:sz w:val="20"/>
          <w:szCs w:val="20"/>
        </w:rPr>
        <w:br/>
        <w:t>13:00</w:t>
      </w:r>
      <w:r>
        <w:rPr>
          <w:rFonts w:ascii="Segoe UI" w:eastAsia="Segoe UI" w:hAnsi="Segoe UI" w:cs="Segoe UI"/>
          <w:color w:val="323130"/>
          <w:sz w:val="20"/>
          <w:szCs w:val="20"/>
        </w:rPr>
        <w:br/>
        <w:t>Trauma informed practice recognizes that there may be many different reasons for someone's demeanor, ability to recall information, and evasiveness to questions.</w:t>
      </w:r>
    </w:p>
    <w:p w14:paraId="162A2BDB" w14:textId="77777777" w:rsidR="000363CB" w:rsidRDefault="000363CB" w:rsidP="000363CB">
      <w:pPr>
        <w:spacing w:after="110"/>
      </w:pPr>
      <w:r>
        <w:rPr>
          <w:rFonts w:ascii="Segoe UI" w:eastAsia="Segoe UI" w:hAnsi="Segoe UI" w:cs="Segoe UI"/>
          <w:color w:val="605E5C"/>
          <w:sz w:val="20"/>
          <w:szCs w:val="20"/>
        </w:rPr>
        <w:br/>
        <w:t>13:10</w:t>
      </w:r>
      <w:r>
        <w:rPr>
          <w:rFonts w:ascii="Segoe UI" w:eastAsia="Segoe UI" w:hAnsi="Segoe UI" w:cs="Segoe UI"/>
          <w:color w:val="323130"/>
          <w:sz w:val="20"/>
          <w:szCs w:val="20"/>
        </w:rPr>
        <w:br/>
        <w:t>Trauma informed practices are explored throughout different course offerings.</w:t>
      </w:r>
    </w:p>
    <w:p w14:paraId="50B63854" w14:textId="0F59720E" w:rsidR="0A4416E8" w:rsidRPr="000363CB" w:rsidRDefault="0A4416E8" w:rsidP="000363CB"/>
    <w:sectPr w:rsidR="0A4416E8" w:rsidRPr="000363CB" w:rsidSect="00EF7377">
      <w:headerReference w:type="default" r:id="rId9"/>
      <w:footerReference w:type="default" r:id="rId10"/>
      <w:headerReference w:type="first" r:id="rId11"/>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AD78" w14:textId="77777777" w:rsidR="003E0721" w:rsidRDefault="003E0721" w:rsidP="00645629">
      <w:r>
        <w:separator/>
      </w:r>
    </w:p>
  </w:endnote>
  <w:endnote w:type="continuationSeparator" w:id="0">
    <w:p w14:paraId="763615E0" w14:textId="77777777" w:rsidR="003E0721" w:rsidRDefault="003E0721" w:rsidP="006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AFEE" w14:textId="07F22A4E" w:rsidR="00EF7377" w:rsidRDefault="00EF7377" w:rsidP="00EF7377">
    <w:pPr>
      <w:pStyle w:val="Footer"/>
      <w:jc w:val="center"/>
    </w:pPr>
    <w:r>
      <w:t>©202</w:t>
    </w:r>
    <w:r w:rsidR="006747B2">
      <w:t>5</w:t>
    </w:r>
    <w:r>
      <w:t xml:space="preserve"> State University of New York</w:t>
    </w:r>
  </w:p>
  <w:p w14:paraId="3EF36A3C" w14:textId="77777777" w:rsidR="000E234C" w:rsidRDefault="000E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47F4" w14:textId="77777777" w:rsidR="003E0721" w:rsidRDefault="003E0721" w:rsidP="00645629">
      <w:r>
        <w:separator/>
      </w:r>
    </w:p>
  </w:footnote>
  <w:footnote w:type="continuationSeparator" w:id="0">
    <w:p w14:paraId="1AD5DF90" w14:textId="77777777" w:rsidR="003E0721" w:rsidRDefault="003E0721" w:rsidP="006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8FA6" w14:textId="28432F14" w:rsidR="00EF7377" w:rsidRPr="003574EF" w:rsidRDefault="003574EF" w:rsidP="003574EF">
    <w:pPr>
      <w:pStyle w:val="Header"/>
      <w:rPr>
        <w:b/>
        <w:bCs/>
        <w:color w:val="12243F"/>
        <w:sz w:val="26"/>
        <w:szCs w:val="26"/>
      </w:rPr>
    </w:pPr>
    <w:r>
      <w:rPr>
        <w:noProof/>
      </w:rPr>
      <mc:AlternateContent>
        <mc:Choice Requires="wps">
          <w:drawing>
            <wp:anchor distT="0" distB="0" distL="118745" distR="118745" simplePos="0" relativeHeight="251654144" behindDoc="1" locked="0" layoutInCell="1" allowOverlap="0" wp14:anchorId="4E44BDAC" wp14:editId="7F50775F">
              <wp:simplePos x="0" y="0"/>
              <wp:positionH relativeFrom="margin">
                <wp:posOffset>-90170</wp:posOffset>
              </wp:positionH>
              <wp:positionV relativeFrom="page">
                <wp:posOffset>311785</wp:posOffset>
              </wp:positionV>
              <wp:extent cx="6028690" cy="486410"/>
              <wp:effectExtent l="0" t="0" r="0" b="8890"/>
              <wp:wrapSquare wrapText="bothSides"/>
              <wp:docPr id="1" name="Rectangle 1"/>
              <wp:cNvGraphicFramePr/>
              <a:graphic xmlns:a="http://schemas.openxmlformats.org/drawingml/2006/main">
                <a:graphicData uri="http://schemas.microsoft.com/office/word/2010/wordprocessingShape">
                  <wps:wsp>
                    <wps:cNvSpPr/>
                    <wps:spPr>
                      <a:xfrm>
                        <a:off x="0" y="0"/>
                        <a:ext cx="6028690"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44BDAC" id="Rectangle 1" o:spid="_x0000_s1026" style="position:absolute;margin-left:-7.1pt;margin-top:24.55pt;width:474.7pt;height:38.3pt;z-index:-2516623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" o:allowoverlap="f" fillcolor="#12243f" stroked="f" strokeweight="1pt">
              <v:textbo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End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6192" behindDoc="1" locked="0" layoutInCell="1" allowOverlap="1" wp14:anchorId="72578ACC" wp14:editId="427E6F32">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1D1" w14:textId="66857E23" w:rsidR="00401049" w:rsidRPr="00BE66BE" w:rsidRDefault="00401049" w:rsidP="00401049">
    <w:pPr>
      <w:pStyle w:val="Header"/>
      <w:rPr>
        <w:b/>
        <w:bCs/>
        <w:color w:val="12243F"/>
        <w:sz w:val="26"/>
        <w:szCs w:val="26"/>
      </w:rPr>
    </w:pPr>
    <w:r>
      <w:rPr>
        <w:noProof/>
      </w:rPr>
      <w:drawing>
        <wp:anchor distT="0" distB="0" distL="114300" distR="114300" simplePos="0" relativeHeight="251658240" behindDoc="0" locked="0" layoutInCell="1" allowOverlap="1" wp14:anchorId="0F7C2E88" wp14:editId="0B339B46">
          <wp:simplePos x="0" y="0"/>
          <wp:positionH relativeFrom="column">
            <wp:posOffset>-668020</wp:posOffset>
          </wp:positionH>
          <wp:positionV relativeFrom="paragraph">
            <wp:posOffset>-161925</wp:posOffset>
          </wp:positionV>
          <wp:extent cx="486410" cy="486410"/>
          <wp:effectExtent l="0" t="0" r="0" b="0"/>
          <wp:wrapTight wrapText="bothSides">
            <wp:wrapPolygon edited="0">
              <wp:start x="564" y="564"/>
              <wp:lineTo x="564" y="2256"/>
              <wp:lineTo x="6204" y="10715"/>
              <wp:lineTo x="1692" y="16355"/>
              <wp:lineTo x="564" y="18047"/>
              <wp:lineTo x="1128" y="20303"/>
              <wp:lineTo x="19739" y="20303"/>
              <wp:lineTo x="20867" y="18047"/>
              <wp:lineTo x="13535" y="10715"/>
              <wp:lineTo x="19175" y="7332"/>
              <wp:lineTo x="20303" y="4512"/>
              <wp:lineTo x="18611" y="564"/>
              <wp:lineTo x="564" y="564"/>
            </wp:wrapPolygon>
          </wp:wrapTight>
          <wp:docPr id="9" name="Graphic 9"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7Qsag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86410" cy="4864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5168" behindDoc="1" locked="0" layoutInCell="1" allowOverlap="0" wp14:anchorId="1692A4E5" wp14:editId="397639B9">
              <wp:simplePos x="0" y="0"/>
              <wp:positionH relativeFrom="margin">
                <wp:align>right</wp:align>
              </wp:positionH>
              <wp:positionV relativeFrom="page">
                <wp:posOffset>311150</wp:posOffset>
              </wp:positionV>
              <wp:extent cx="6001385" cy="4864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001385"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92A4E5" id="Rectangle 197" o:spid="_x0000_s1027" style="position:absolute;margin-left:421.35pt;margin-top:24.5pt;width:472.55pt;height:38.3pt;z-index:-251661312;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" o:allowoverlap="f" fillcolor="#12243f" stroked="f" strokeweight="1pt">
              <v:textbo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7216" behindDoc="1" locked="0" layoutInCell="1" allowOverlap="1" wp14:anchorId="098F7B88" wp14:editId="226BC5BA">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3">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1A9DA17A" w14:textId="77777777" w:rsidR="000E234C" w:rsidRPr="00401049" w:rsidRDefault="000E234C" w:rsidP="00401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0A"/>
    <w:rsid w:val="000363CB"/>
    <w:rsid w:val="000A0697"/>
    <w:rsid w:val="000E234C"/>
    <w:rsid w:val="00132DCD"/>
    <w:rsid w:val="00150ED3"/>
    <w:rsid w:val="00166E89"/>
    <w:rsid w:val="001A239B"/>
    <w:rsid w:val="001E670C"/>
    <w:rsid w:val="00210ED7"/>
    <w:rsid w:val="0021485B"/>
    <w:rsid w:val="003574EF"/>
    <w:rsid w:val="00392457"/>
    <w:rsid w:val="003E0721"/>
    <w:rsid w:val="003E72AC"/>
    <w:rsid w:val="00401049"/>
    <w:rsid w:val="00403C61"/>
    <w:rsid w:val="00447A2E"/>
    <w:rsid w:val="004A267A"/>
    <w:rsid w:val="004D2460"/>
    <w:rsid w:val="00565378"/>
    <w:rsid w:val="005F2ACE"/>
    <w:rsid w:val="00615C30"/>
    <w:rsid w:val="00645629"/>
    <w:rsid w:val="006557CF"/>
    <w:rsid w:val="006747B2"/>
    <w:rsid w:val="006A2D30"/>
    <w:rsid w:val="00704586"/>
    <w:rsid w:val="007272AE"/>
    <w:rsid w:val="007C5B0A"/>
    <w:rsid w:val="00835971"/>
    <w:rsid w:val="00884686"/>
    <w:rsid w:val="0095787D"/>
    <w:rsid w:val="0098354E"/>
    <w:rsid w:val="00AD508A"/>
    <w:rsid w:val="00B24F0A"/>
    <w:rsid w:val="00B2781B"/>
    <w:rsid w:val="00B93169"/>
    <w:rsid w:val="00BC5226"/>
    <w:rsid w:val="00CE4494"/>
    <w:rsid w:val="00CF3242"/>
    <w:rsid w:val="00D37A2D"/>
    <w:rsid w:val="00DE1914"/>
    <w:rsid w:val="00EB4564"/>
    <w:rsid w:val="00EF7377"/>
    <w:rsid w:val="00F06867"/>
    <w:rsid w:val="00F95FE3"/>
    <w:rsid w:val="00FE1D44"/>
    <w:rsid w:val="00FF0605"/>
    <w:rsid w:val="022EF146"/>
    <w:rsid w:val="02FD1DD4"/>
    <w:rsid w:val="03F88E28"/>
    <w:rsid w:val="07C0BF1C"/>
    <w:rsid w:val="07D8F264"/>
    <w:rsid w:val="09DFBEE8"/>
    <w:rsid w:val="0A4416E8"/>
    <w:rsid w:val="0B83FFDB"/>
    <w:rsid w:val="0DFD2798"/>
    <w:rsid w:val="0E41134D"/>
    <w:rsid w:val="0E670F7D"/>
    <w:rsid w:val="0F7723B7"/>
    <w:rsid w:val="101A516E"/>
    <w:rsid w:val="10E666CE"/>
    <w:rsid w:val="11EED572"/>
    <w:rsid w:val="14E050ED"/>
    <w:rsid w:val="15F47AE9"/>
    <w:rsid w:val="162AC431"/>
    <w:rsid w:val="170D550B"/>
    <w:rsid w:val="17AED181"/>
    <w:rsid w:val="18C15E44"/>
    <w:rsid w:val="1915FEB8"/>
    <w:rsid w:val="19CB9F61"/>
    <w:rsid w:val="1A369A90"/>
    <w:rsid w:val="1A4B36ED"/>
    <w:rsid w:val="1A5C2C0B"/>
    <w:rsid w:val="1C5A6C62"/>
    <w:rsid w:val="1C89C2C5"/>
    <w:rsid w:val="1CE5375B"/>
    <w:rsid w:val="1F667431"/>
    <w:rsid w:val="201F339F"/>
    <w:rsid w:val="20ED1E79"/>
    <w:rsid w:val="221CE555"/>
    <w:rsid w:val="2238EE31"/>
    <w:rsid w:val="22997716"/>
    <w:rsid w:val="244BB4E6"/>
    <w:rsid w:val="2455DDC5"/>
    <w:rsid w:val="256E6F1F"/>
    <w:rsid w:val="27BB5A69"/>
    <w:rsid w:val="28299A9B"/>
    <w:rsid w:val="29369CF0"/>
    <w:rsid w:val="29E2ECDC"/>
    <w:rsid w:val="29FB9163"/>
    <w:rsid w:val="2A62A839"/>
    <w:rsid w:val="2AA64FB8"/>
    <w:rsid w:val="2B98946F"/>
    <w:rsid w:val="2BF020B1"/>
    <w:rsid w:val="2C64F503"/>
    <w:rsid w:val="303A4D4C"/>
    <w:rsid w:val="30F07D90"/>
    <w:rsid w:val="325C5985"/>
    <w:rsid w:val="32618B59"/>
    <w:rsid w:val="32A45F55"/>
    <w:rsid w:val="33972ADE"/>
    <w:rsid w:val="3450986F"/>
    <w:rsid w:val="37696459"/>
    <w:rsid w:val="38878C12"/>
    <w:rsid w:val="3D8209EB"/>
    <w:rsid w:val="3ECF49D9"/>
    <w:rsid w:val="402F6722"/>
    <w:rsid w:val="41FF081E"/>
    <w:rsid w:val="448996F2"/>
    <w:rsid w:val="45E99302"/>
    <w:rsid w:val="4A2D0C5B"/>
    <w:rsid w:val="4AD417F9"/>
    <w:rsid w:val="4AE1FAA8"/>
    <w:rsid w:val="4B1EAF9B"/>
    <w:rsid w:val="4B41253B"/>
    <w:rsid w:val="4CE75797"/>
    <w:rsid w:val="4DB0515A"/>
    <w:rsid w:val="4DB8A480"/>
    <w:rsid w:val="4E6982AE"/>
    <w:rsid w:val="50D46421"/>
    <w:rsid w:val="51F9F43A"/>
    <w:rsid w:val="5288C698"/>
    <w:rsid w:val="536D71F3"/>
    <w:rsid w:val="5411A42F"/>
    <w:rsid w:val="553154FB"/>
    <w:rsid w:val="58615A65"/>
    <w:rsid w:val="586ACA56"/>
    <w:rsid w:val="58E305AD"/>
    <w:rsid w:val="5919A50F"/>
    <w:rsid w:val="5B986070"/>
    <w:rsid w:val="5C312363"/>
    <w:rsid w:val="5D459FAC"/>
    <w:rsid w:val="5D731680"/>
    <w:rsid w:val="5F9A5459"/>
    <w:rsid w:val="610F8CC8"/>
    <w:rsid w:val="61248ACD"/>
    <w:rsid w:val="614CB58A"/>
    <w:rsid w:val="634A4761"/>
    <w:rsid w:val="648C556B"/>
    <w:rsid w:val="6628696D"/>
    <w:rsid w:val="664F8A89"/>
    <w:rsid w:val="685F9735"/>
    <w:rsid w:val="69813ADB"/>
    <w:rsid w:val="6B4928F2"/>
    <w:rsid w:val="6C467C4D"/>
    <w:rsid w:val="6C95C5F4"/>
    <w:rsid w:val="6F3A5362"/>
    <w:rsid w:val="708B476E"/>
    <w:rsid w:val="7332EBBD"/>
    <w:rsid w:val="74AC6668"/>
    <w:rsid w:val="762E29C6"/>
    <w:rsid w:val="778D5241"/>
    <w:rsid w:val="7813AB15"/>
    <w:rsid w:val="79F0D1E6"/>
    <w:rsid w:val="7A639F93"/>
    <w:rsid w:val="7B9C5A9A"/>
    <w:rsid w:val="7BDA1758"/>
    <w:rsid w:val="7CE69167"/>
    <w:rsid w:val="7D28921C"/>
    <w:rsid w:val="7F99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361B3"/>
  <w15:chartTrackingRefBased/>
  <w15:docId w15:val="{C17183DC-3616-4BAC-A3B6-F3E5C898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C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A"/>
    <w:rPr>
      <w:rFonts w:ascii="Segoe UI" w:eastAsiaTheme="minorEastAsia" w:hAnsi="Segoe UI" w:cs="Segoe UI"/>
      <w:sz w:val="18"/>
      <w:szCs w:val="18"/>
    </w:rPr>
  </w:style>
  <w:style w:type="paragraph" w:styleId="Header">
    <w:name w:val="header"/>
    <w:basedOn w:val="Normal"/>
    <w:link w:val="HeaderChar"/>
    <w:uiPriority w:val="99"/>
    <w:unhideWhenUsed/>
    <w:rsid w:val="00645629"/>
    <w:pPr>
      <w:tabs>
        <w:tab w:val="center" w:pos="4680"/>
        <w:tab w:val="right" w:pos="9360"/>
      </w:tabs>
    </w:pPr>
  </w:style>
  <w:style w:type="character" w:customStyle="1" w:styleId="HeaderChar">
    <w:name w:val="Header Char"/>
    <w:basedOn w:val="DefaultParagraphFont"/>
    <w:link w:val="Header"/>
    <w:uiPriority w:val="99"/>
    <w:rsid w:val="00645629"/>
    <w:rPr>
      <w:rFonts w:eastAsiaTheme="minorEastAsia"/>
      <w:sz w:val="24"/>
      <w:szCs w:val="24"/>
    </w:rPr>
  </w:style>
  <w:style w:type="paragraph" w:styleId="Footer">
    <w:name w:val="footer"/>
    <w:basedOn w:val="Normal"/>
    <w:link w:val="FooterChar"/>
    <w:uiPriority w:val="99"/>
    <w:unhideWhenUsed/>
    <w:rsid w:val="00645629"/>
    <w:pPr>
      <w:tabs>
        <w:tab w:val="center" w:pos="4680"/>
        <w:tab w:val="right" w:pos="9360"/>
      </w:tabs>
    </w:pPr>
  </w:style>
  <w:style w:type="character" w:customStyle="1" w:styleId="FooterChar">
    <w:name w:val="Footer Char"/>
    <w:basedOn w:val="DefaultParagraphFont"/>
    <w:link w:val="Footer"/>
    <w:uiPriority w:val="99"/>
    <w:rsid w:val="00645629"/>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DC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32DCD"/>
    <w:rPr>
      <w:b/>
      <w:bCs/>
    </w:rPr>
  </w:style>
  <w:style w:type="character" w:customStyle="1" w:styleId="CommentSubjectChar">
    <w:name w:val="Comment Subject Char"/>
    <w:basedOn w:val="CommentTextChar"/>
    <w:link w:val="CommentSubject"/>
    <w:uiPriority w:val="99"/>
    <w:semiHidden/>
    <w:rsid w:val="00132DCD"/>
    <w:rPr>
      <w:rFonts w:eastAsiaTheme="minorEastAsia"/>
      <w:b/>
      <w:bCs/>
    </w:rPr>
  </w:style>
  <w:style w:type="character" w:styleId="Hyperlink">
    <w:name w:val="Hyperlink"/>
    <w:basedOn w:val="DefaultParagraphFont"/>
    <w:uiPriority w:val="99"/>
    <w:unhideWhenUsed/>
    <w:rsid w:val="006A2D30"/>
    <w:rPr>
      <w:color w:val="0563C1" w:themeColor="hyperlink"/>
      <w:u w:val="single"/>
    </w:rPr>
  </w:style>
  <w:style w:type="character" w:styleId="UnresolvedMention">
    <w:name w:val="Unresolved Mention"/>
    <w:basedOn w:val="DefaultParagraphFont"/>
    <w:uiPriority w:val="99"/>
    <w:semiHidden/>
    <w:unhideWhenUsed/>
    <w:rsid w:val="006A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16" ma:contentTypeDescription="Create a new document." ma:contentTypeScope="" ma:versionID="d1d519f07f570a7ec52620e3c5562448">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cb897c224cacc085a401a0cd74d1cb4e"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c3fc14-2e30-4e40-8eeb-3b52cfee7462" xsi:nil="true"/>
    <lcf76f155ced4ddcb4097134ff3c332f xmlns="d53ffc77-9570-416f-b8ce-97d7c6acb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95A3E-F84E-4B26-A2AC-585CFA9ACE55}">
  <ds:schemaRefs>
    <ds:schemaRef ds:uri="http://schemas.microsoft.com/sharepoint/v3/contenttype/forms"/>
  </ds:schemaRefs>
</ds:datastoreItem>
</file>

<file path=customXml/itemProps2.xml><?xml version="1.0" encoding="utf-8"?>
<ds:datastoreItem xmlns:ds="http://schemas.openxmlformats.org/officeDocument/2006/customXml" ds:itemID="{5F2ACA05-DAEA-461E-B8F1-679D268A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fc77-9570-416f-b8ce-97d7c6acbadf"/>
    <ds:schemaRef ds:uri="77c3fc14-2e30-4e40-8eeb-3b52cfee7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9D236-CF86-44C4-B1D7-C6CDDB3E5B27}">
  <ds:schemaRefs>
    <ds:schemaRef ds:uri="http://schemas.microsoft.com/office/2006/metadata/properties"/>
    <ds:schemaRef ds:uri="http://schemas.microsoft.com/office/infopath/2007/PartnerControls"/>
    <ds:schemaRef ds:uri="77c3fc14-2e30-4e40-8eeb-3b52cfee7462"/>
    <ds:schemaRef ds:uri="d53ffc77-9570-416f-b8ce-97d7c6acba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2012</Words>
  <Characters>10690</Characters>
  <Application>Microsoft Office Word</Application>
  <DocSecurity>0</DocSecurity>
  <Lines>334</Lines>
  <Paragraphs>104</Paragraphs>
  <ScaleCrop>false</ScaleCrop>
  <HeadingPairs>
    <vt:vector size="2" baseType="variant">
      <vt:variant>
        <vt:lpstr>Title</vt:lpstr>
      </vt:variant>
      <vt:variant>
        <vt:i4>1</vt:i4>
      </vt:variant>
    </vt:vector>
  </HeadingPairs>
  <TitlesOfParts>
    <vt:vector size="1" baseType="lpstr">
      <vt:lpstr>Title IX Toolkit</vt:lpstr>
    </vt:vector>
  </TitlesOfParts>
  <Company>Academic Computing Services</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Wendy Sirvent</dc:creator>
  <cp:keywords/>
  <dc:description/>
  <cp:lastModifiedBy>Gowan, Kelly</cp:lastModifiedBy>
  <cp:revision>3</cp:revision>
  <cp:lastPrinted>2018-01-19T19:54:00Z</cp:lastPrinted>
  <dcterms:created xsi:type="dcterms:W3CDTF">2025-03-05T17:42:00Z</dcterms:created>
  <dcterms:modified xsi:type="dcterms:W3CDTF">2025-03-06T14:53:00Z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0x010100B1F9DEE80A15E8428BF7116FB6EA3FC9</vt:lpwstr>
  </property>
</Properties>
</file>